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3" w:firstLineChars="200"/>
        <w:jc w:val="center"/>
        <w:rPr>
          <w:rFonts w:hint="eastAsia" w:ascii="宋体" w:hAnsi="宋体" w:eastAsia="宋体"/>
          <w:sz w:val="32"/>
          <w:szCs w:val="32"/>
          <w:lang w:eastAsia="zh-CN"/>
        </w:rPr>
      </w:pPr>
      <w:r>
        <w:rPr>
          <w:rFonts w:hint="eastAsia" w:ascii="宋体" w:hAnsi="宋体"/>
          <w:b/>
          <w:bCs/>
          <w:sz w:val="36"/>
          <w:szCs w:val="36"/>
        </w:rPr>
        <w:t>技术</w:t>
      </w:r>
      <w:r>
        <w:rPr>
          <w:rFonts w:hint="eastAsia" w:ascii="宋体" w:hAnsi="宋体"/>
          <w:b/>
          <w:bCs/>
          <w:sz w:val="36"/>
          <w:szCs w:val="36"/>
          <w:lang w:eastAsia="zh-CN"/>
        </w:rPr>
        <w:t>要求</w:t>
      </w:r>
      <w:bookmarkStart w:id="193" w:name="_GoBack"/>
      <w:bookmarkEnd w:id="193"/>
    </w:p>
    <w:p>
      <w:pPr>
        <w:pStyle w:val="2"/>
        <w:spacing w:line="240" w:lineRule="auto"/>
        <w:ind w:left="0" w:leftChars="0" w:firstLine="0" w:firstLineChars="0"/>
        <w:jc w:val="center"/>
        <w:rPr>
          <w:rFonts w:ascii="宋体" w:hAnsi="宋体" w:eastAsia="宋体"/>
          <w:sz w:val="30"/>
          <w:szCs w:val="30"/>
        </w:rPr>
      </w:pPr>
      <w:bookmarkStart w:id="0" w:name="_Toc251095763"/>
      <w:bookmarkEnd w:id="0"/>
      <w:bookmarkStart w:id="1" w:name="_Toc251095677"/>
      <w:bookmarkEnd w:id="1"/>
      <w:bookmarkStart w:id="2" w:name="_Toc251095233"/>
      <w:bookmarkEnd w:id="2"/>
      <w:bookmarkStart w:id="3" w:name="_Toc13791"/>
      <w:bookmarkEnd w:id="3"/>
      <w:bookmarkStart w:id="4" w:name="_Toc251095709"/>
      <w:bookmarkEnd w:id="4"/>
      <w:bookmarkStart w:id="5" w:name="_Toc256980126"/>
      <w:bookmarkEnd w:id="5"/>
      <w:bookmarkStart w:id="6" w:name="_Toc251094189"/>
      <w:bookmarkEnd w:id="6"/>
      <w:bookmarkStart w:id="7" w:name="_Toc251095866"/>
      <w:bookmarkEnd w:id="7"/>
      <w:bookmarkStart w:id="8" w:name="_Toc160008327"/>
      <w:r>
        <w:rPr>
          <w:rFonts w:hint="eastAsia" w:ascii="宋体" w:hAnsi="宋体" w:eastAsia="宋体"/>
          <w:sz w:val="30"/>
          <w:szCs w:val="30"/>
        </w:rPr>
        <w:t>第一部分  矿区概况及煤田地质</w:t>
      </w:r>
      <w:bookmarkEnd w:id="8"/>
    </w:p>
    <w:p>
      <w:pPr>
        <w:autoSpaceDE w:val="0"/>
        <w:autoSpaceDN w:val="0"/>
        <w:spacing w:line="440" w:lineRule="exact"/>
        <w:jc w:val="center"/>
        <w:rPr>
          <w:rFonts w:ascii="仿宋" w:hAnsi="仿宋" w:eastAsia="仿宋"/>
          <w:kern w:val="0"/>
          <w:sz w:val="24"/>
        </w:rPr>
      </w:pPr>
      <w:bookmarkStart w:id="9" w:name="_Toc18006"/>
      <w:bookmarkEnd w:id="9"/>
      <w:bookmarkStart w:id="10" w:name="_Toc251095764"/>
      <w:bookmarkEnd w:id="10"/>
      <w:bookmarkStart w:id="11" w:name="_Toc256980127"/>
      <w:bookmarkEnd w:id="11"/>
      <w:bookmarkStart w:id="12" w:name="_Toc251094190"/>
      <w:bookmarkEnd w:id="12"/>
      <w:bookmarkStart w:id="13" w:name="_Toc251095867"/>
      <w:bookmarkEnd w:id="13"/>
      <w:bookmarkStart w:id="14" w:name="_Toc251095710"/>
      <w:bookmarkEnd w:id="14"/>
      <w:bookmarkStart w:id="15" w:name="_Toc251095678"/>
      <w:bookmarkEnd w:id="15"/>
      <w:bookmarkStart w:id="16" w:name="_Toc251095234"/>
      <w:bookmarkEnd w:id="16"/>
      <w:r>
        <w:rPr>
          <w:rFonts w:hint="eastAsia" w:ascii="仿宋" w:hAnsi="仿宋" w:eastAsia="仿宋"/>
          <w:kern w:val="0"/>
          <w:sz w:val="24"/>
        </w:rPr>
        <w:t>第一节  地理位置及交通</w:t>
      </w:r>
    </w:p>
    <w:p>
      <w:pPr>
        <w:autoSpaceDE w:val="0"/>
        <w:autoSpaceDN w:val="0"/>
        <w:spacing w:after="120" w:line="440" w:lineRule="exact"/>
        <w:ind w:firstLine="480" w:firstLineChars="200"/>
        <w:rPr>
          <w:rFonts w:ascii="仿宋" w:hAnsi="仿宋" w:eastAsia="仿宋"/>
          <w:kern w:val="0"/>
          <w:sz w:val="24"/>
        </w:rPr>
      </w:pPr>
      <w:bookmarkStart w:id="17" w:name="_Toc251095711"/>
      <w:bookmarkStart w:id="18" w:name="_Toc251094191"/>
      <w:bookmarkStart w:id="19" w:name="_Toc251095765"/>
      <w:bookmarkStart w:id="20" w:name="_Toc251095868"/>
      <w:bookmarkStart w:id="21" w:name="_Toc251095679"/>
      <w:bookmarkStart w:id="22" w:name="_Toc251095235"/>
      <w:bookmarkStart w:id="23" w:name="_Toc256980128"/>
      <w:bookmarkStart w:id="24" w:name="_Toc5469"/>
      <w:bookmarkStart w:id="25" w:name="_Toc153885398"/>
      <w:r>
        <w:rPr>
          <w:rFonts w:hint="eastAsia" w:ascii="仿宋" w:hAnsi="仿宋" w:eastAsia="仿宋"/>
          <w:kern w:val="0"/>
          <w:sz w:val="24"/>
        </w:rPr>
        <w:t>神东天隆集团股份有限公司武家塔露天煤矿位于内蒙古自治区鄂尔多斯市伊金霍洛旗乌兰木伦镇。矿区向北经布尔台到阿镇34公里，南部经</w:t>
      </w:r>
      <w:r>
        <w:rPr>
          <w:rFonts w:hint="eastAsia" w:ascii="仿宋" w:hAnsi="仿宋" w:eastAsia="仿宋"/>
          <w:kern w:val="0"/>
          <w:sz w:val="24"/>
          <w:highlight w:val="none"/>
        </w:rPr>
        <w:t>活鸡</w:t>
      </w:r>
      <w:r>
        <w:rPr>
          <w:rFonts w:hint="eastAsia" w:ascii="仿宋" w:hAnsi="仿宋" w:eastAsia="仿宋"/>
          <w:color w:val="auto"/>
          <w:kern w:val="0"/>
          <w:sz w:val="24"/>
          <w:highlight w:val="none"/>
          <w:lang w:val="en-US" w:eastAsia="zh-CN"/>
        </w:rPr>
        <w:t>兔</w:t>
      </w:r>
      <w:r>
        <w:rPr>
          <w:rFonts w:hint="eastAsia" w:ascii="仿宋" w:hAnsi="仿宋" w:eastAsia="仿宋"/>
          <w:kern w:val="0"/>
          <w:sz w:val="24"/>
          <w:highlight w:val="none"/>
        </w:rPr>
        <w:t>煤矿</w:t>
      </w:r>
      <w:r>
        <w:rPr>
          <w:rFonts w:hint="eastAsia" w:ascii="仿宋" w:hAnsi="仿宋" w:eastAsia="仿宋"/>
          <w:kern w:val="0"/>
          <w:sz w:val="24"/>
        </w:rPr>
        <w:t>、补连乡、小霍洛到阿镇74公里。由矿区经东胜向北直达包头。与京包、包兰铁路连接全程146公里。向东经准格尔旗，托克托县到达呼和浩特市(约330公里)，向西经鄂托克至乌海350公里，向南经新街到榆林170公里，交通条件非常好。地理位置：东经 110°05′35″-110°10′48″，北纬 39°15′16″ - 39°17′50″。</w:t>
      </w:r>
    </w:p>
    <w:bookmarkEnd w:id="17"/>
    <w:bookmarkEnd w:id="18"/>
    <w:bookmarkEnd w:id="19"/>
    <w:bookmarkEnd w:id="20"/>
    <w:bookmarkEnd w:id="21"/>
    <w:bookmarkEnd w:id="22"/>
    <w:bookmarkEnd w:id="23"/>
    <w:bookmarkEnd w:id="24"/>
    <w:p>
      <w:pPr>
        <w:autoSpaceDE w:val="0"/>
        <w:autoSpaceDN w:val="0"/>
        <w:spacing w:line="440" w:lineRule="exact"/>
        <w:jc w:val="center"/>
        <w:rPr>
          <w:rFonts w:ascii="仿宋" w:hAnsi="仿宋" w:eastAsia="仿宋"/>
          <w:kern w:val="0"/>
          <w:sz w:val="24"/>
        </w:rPr>
      </w:pPr>
      <w:r>
        <w:rPr>
          <w:rFonts w:hint="eastAsia" w:ascii="仿宋" w:hAnsi="仿宋" w:eastAsia="仿宋"/>
          <w:kern w:val="0"/>
          <w:sz w:val="24"/>
        </w:rPr>
        <w:t>第二节  水文及气象</w:t>
      </w:r>
    </w:p>
    <w:bookmarkEnd w:id="25"/>
    <w:p>
      <w:pPr>
        <w:autoSpaceDE w:val="0"/>
        <w:autoSpaceDN w:val="0"/>
        <w:spacing w:after="120" w:line="440" w:lineRule="exact"/>
        <w:ind w:firstLine="480" w:firstLineChars="200"/>
        <w:rPr>
          <w:rFonts w:ascii="仿宋" w:hAnsi="仿宋" w:eastAsia="仿宋"/>
          <w:kern w:val="0"/>
          <w:sz w:val="24"/>
        </w:rPr>
      </w:pPr>
      <w:bookmarkStart w:id="26" w:name="_Toc251094192"/>
      <w:bookmarkStart w:id="27" w:name="_Toc256980129"/>
      <w:bookmarkStart w:id="28" w:name="_Toc19576"/>
      <w:bookmarkStart w:id="29" w:name="_Toc251095680"/>
      <w:bookmarkStart w:id="30" w:name="_Toc251095236"/>
      <w:bookmarkStart w:id="31" w:name="_Toc251095712"/>
      <w:bookmarkStart w:id="32" w:name="_Toc251095766"/>
      <w:bookmarkStart w:id="33" w:name="_Toc251095869"/>
      <w:r>
        <w:rPr>
          <w:rFonts w:hint="eastAsia" w:ascii="仿宋" w:hAnsi="仿宋" w:eastAsia="仿宋"/>
          <w:kern w:val="0"/>
          <w:sz w:val="24"/>
        </w:rPr>
        <w:t>该地区属半干旱地区，附近主要河流为</w:t>
      </w:r>
      <w:r>
        <w:rPr>
          <w:rFonts w:hint="eastAsia" w:ascii="仿宋" w:hAnsi="仿宋" w:eastAsia="仿宋"/>
          <w:kern w:val="0"/>
          <w:sz w:val="24"/>
          <w:highlight w:val="none"/>
        </w:rPr>
        <w:t>活鸡</w:t>
      </w:r>
      <w:r>
        <w:rPr>
          <w:rFonts w:hint="eastAsia" w:ascii="仿宋" w:hAnsi="仿宋" w:eastAsia="仿宋"/>
          <w:color w:val="auto"/>
          <w:kern w:val="0"/>
          <w:sz w:val="24"/>
          <w:highlight w:val="none"/>
          <w:lang w:val="en-US" w:eastAsia="zh-CN"/>
        </w:rPr>
        <w:t>兔</w:t>
      </w:r>
      <w:r>
        <w:rPr>
          <w:rFonts w:hint="eastAsia" w:ascii="仿宋" w:hAnsi="仿宋" w:eastAsia="仿宋"/>
          <w:kern w:val="0"/>
          <w:sz w:val="24"/>
          <w:highlight w:val="none"/>
        </w:rPr>
        <w:t>河</w:t>
      </w:r>
      <w:r>
        <w:rPr>
          <w:rFonts w:hint="eastAsia" w:ascii="仿宋" w:hAnsi="仿宋" w:eastAsia="仿宋"/>
          <w:kern w:val="0"/>
          <w:sz w:val="24"/>
        </w:rPr>
        <w:t>，河流自西向东流经勘探区之东缘，为常年流水。一般流速为1.98m/s，流量12.1m/s，受降水量影响较大。</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该区气侯冬季严寒，夏季炎热，温差较大，春秋季多风，降雨量小，属于干燥的半沙漠高原大陆性气候。全年冰冻期长，可达半年以上，最大冻土厚度1.7m。夏季炎热多雨，最高气温达36℃，降雨量多集中在7、8、9三个月。</w:t>
      </w:r>
    </w:p>
    <w:bookmarkEnd w:id="26"/>
    <w:bookmarkEnd w:id="27"/>
    <w:bookmarkEnd w:id="28"/>
    <w:bookmarkEnd w:id="29"/>
    <w:bookmarkEnd w:id="30"/>
    <w:bookmarkEnd w:id="31"/>
    <w:bookmarkEnd w:id="32"/>
    <w:bookmarkEnd w:id="33"/>
    <w:p>
      <w:pPr>
        <w:numPr>
          <w:ilvl w:val="0"/>
          <w:numId w:val="1"/>
        </w:numPr>
        <w:autoSpaceDE w:val="0"/>
        <w:autoSpaceDN w:val="0"/>
        <w:spacing w:after="120" w:line="440" w:lineRule="exact"/>
        <w:jc w:val="center"/>
        <w:rPr>
          <w:rFonts w:ascii="仿宋" w:hAnsi="仿宋" w:eastAsia="仿宋"/>
          <w:kern w:val="0"/>
          <w:sz w:val="24"/>
        </w:rPr>
      </w:pPr>
      <w:r>
        <w:rPr>
          <w:rFonts w:hint="eastAsia" w:ascii="仿宋" w:hAnsi="仿宋" w:eastAsia="仿宋"/>
          <w:kern w:val="0"/>
          <w:sz w:val="24"/>
        </w:rPr>
        <w:t>煤层赋存条件</w:t>
      </w:r>
    </w:p>
    <w:p>
      <w:pPr>
        <w:autoSpaceDE w:val="0"/>
        <w:autoSpaceDN w:val="0"/>
        <w:spacing w:after="120" w:line="440" w:lineRule="exact"/>
        <w:ind w:firstLine="600" w:firstLineChars="250"/>
        <w:rPr>
          <w:rFonts w:ascii="仿宋" w:hAnsi="仿宋" w:eastAsia="仿宋"/>
          <w:kern w:val="0"/>
          <w:sz w:val="24"/>
        </w:rPr>
      </w:pPr>
      <w:r>
        <w:rPr>
          <w:rFonts w:hint="eastAsia" w:ascii="仿宋" w:hAnsi="仿宋" w:eastAsia="仿宋"/>
          <w:kern w:val="0"/>
          <w:sz w:val="24"/>
        </w:rPr>
        <w:t>煤层结构：该矿的开采煤层为2-2#和3#煤层，属于近水平煤层，倾角1-3°，它位于延安组中上部。全区发育一般，含煤三层，在本区以单斜赋存，厚度大，层位稳定，结构简单。</w:t>
      </w:r>
    </w:p>
    <w:p>
      <w:pPr>
        <w:autoSpaceDE w:val="0"/>
        <w:autoSpaceDN w:val="0"/>
        <w:spacing w:after="120" w:line="440" w:lineRule="exact"/>
        <w:ind w:firstLine="600" w:firstLineChars="250"/>
        <w:rPr>
          <w:rFonts w:ascii="仿宋" w:hAnsi="仿宋" w:eastAsia="仿宋"/>
          <w:kern w:val="0"/>
          <w:sz w:val="24"/>
        </w:rPr>
      </w:pPr>
      <w:r>
        <w:rPr>
          <w:rFonts w:hint="eastAsia" w:ascii="仿宋" w:hAnsi="仿宋" w:eastAsia="仿宋"/>
          <w:kern w:val="0"/>
          <w:sz w:val="24"/>
        </w:rPr>
        <w:t>煤层厚度：开采二层煤，现采2-2#和3#煤，可采厚度最大厚度9.2m，最小厚度为5.8m，平均为8.75m和5.83m。</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倾角：煤层倾角1-3°，呈波浪型分布。</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煤层的稳定性：该区煤层稳定，煤层总体变化不大。</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煤层的自然发火倾向：根据煤层情况，煤的自然发火期为3-6个月，夏天或雨季更短。</w:t>
      </w:r>
    </w:p>
    <w:p>
      <w:pPr>
        <w:autoSpaceDE w:val="0"/>
        <w:autoSpaceDN w:val="0"/>
        <w:spacing w:line="440" w:lineRule="exact"/>
        <w:jc w:val="center"/>
        <w:rPr>
          <w:rFonts w:ascii="仿宋" w:hAnsi="仿宋" w:eastAsia="仿宋"/>
          <w:kern w:val="0"/>
          <w:sz w:val="24"/>
        </w:rPr>
      </w:pPr>
      <w:bookmarkStart w:id="34" w:name="_Toc251095767"/>
      <w:bookmarkEnd w:id="34"/>
      <w:bookmarkStart w:id="35" w:name="_Toc251095237"/>
      <w:bookmarkEnd w:id="35"/>
      <w:bookmarkStart w:id="36" w:name="_Toc251095713"/>
      <w:bookmarkEnd w:id="36"/>
      <w:bookmarkStart w:id="37" w:name="_Toc256980130"/>
      <w:bookmarkEnd w:id="37"/>
      <w:bookmarkStart w:id="38" w:name="_Toc251095870"/>
      <w:bookmarkEnd w:id="38"/>
      <w:bookmarkStart w:id="39" w:name="_Toc251094193"/>
      <w:bookmarkEnd w:id="39"/>
      <w:bookmarkStart w:id="40" w:name="_Toc251095681"/>
      <w:bookmarkEnd w:id="40"/>
      <w:bookmarkStart w:id="41" w:name="_Toc2630"/>
      <w:bookmarkEnd w:id="41"/>
      <w:r>
        <w:rPr>
          <w:rFonts w:hint="eastAsia" w:ascii="仿宋" w:hAnsi="仿宋" w:eastAsia="仿宋"/>
          <w:kern w:val="0"/>
          <w:sz w:val="24"/>
        </w:rPr>
        <w:t>第四节  水文、工程地质特征</w:t>
      </w:r>
    </w:p>
    <w:p>
      <w:pPr>
        <w:rPr>
          <w:rFonts w:ascii="仿宋" w:hAnsi="仿宋" w:eastAsia="仿宋"/>
          <w:sz w:val="24"/>
        </w:rPr>
      </w:pPr>
      <w:r>
        <w:rPr>
          <w:rFonts w:hint="eastAsia" w:ascii="仿宋" w:hAnsi="仿宋" w:eastAsia="仿宋"/>
          <w:sz w:val="24"/>
        </w:rPr>
        <w:t>（1）地下水类型</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本露天区由于地质构造简单和胶结致密的细碎岩层，以致除第四系松散层和临近河沿阶地中富水性较强外，基岩地下水很不发育，岩石导水、渗透和富水性都差，水文地质条件简单。区内主要研究1-2煤层顶部直接含水层以及第四系松散层之间的相互关系及2-2煤以上主要含水岩层、隔水岩层的划分及特征。分述如下：</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第四系松散含水段，主要由风积沙和砂砾石组成，厚度0m～40.58m，一般厚度为16.78m，全区分布厚度变化大，一般平水季节泉水流量小于0.794L/S。</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2-2煤层至Q4底间潜水含水岩段:总厚度10.09m～135.76m，一般厚度60.67m，含水层总厚度为1.25m～54.5m，一般厚度19.7m。含水层主要岩性以灰白色、灰绿色及浅绿色的中砂岩、细砂岩为主。隔水层段为泥岩类，一般厚度为40.8m。</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2-2煤至3煤承压水含水段，含水层岩性主要以中、细砂岩为主，厚度0m～37.5m，一般厚度为15.68m，含水层段接近2-2</w:t>
      </w:r>
      <w:r>
        <w:rPr>
          <w:rFonts w:hint="eastAsia" w:ascii="仿宋" w:hAnsi="仿宋" w:eastAsia="仿宋"/>
          <w:color w:val="auto"/>
          <w:kern w:val="0"/>
          <w:sz w:val="24"/>
        </w:rPr>
        <w:t>煤顶</w:t>
      </w:r>
      <w:r>
        <w:rPr>
          <w:rFonts w:hint="eastAsia" w:ascii="仿宋" w:hAnsi="仿宋" w:eastAsia="仿宋"/>
          <w:kern w:val="0"/>
          <w:sz w:val="24"/>
        </w:rPr>
        <w:t>。</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2煤层以下承压水含水岩段，岩性是以中、细砂岩为主，不同含水层间水力联系差，所以水动力条件差，隔水层岩性以泥岩、砂质泥岩为主，其次为粉砂岩类，与含水层相间赋存，形成良好的隔水岩体。</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总之，区内水文地质条件简单，地下水是以孔隙水为主，风化裂隙水为辅的孔隙型地下水。水文地质条件类型为一类一型，沟谷地段为一类二型。</w:t>
      </w:r>
    </w:p>
    <w:p>
      <w:pPr>
        <w:rPr>
          <w:rFonts w:ascii="仿宋" w:hAnsi="仿宋" w:eastAsia="仿宋"/>
          <w:sz w:val="24"/>
        </w:rPr>
      </w:pPr>
      <w:r>
        <w:rPr>
          <w:rFonts w:hint="eastAsia" w:ascii="仿宋" w:hAnsi="仿宋" w:eastAsia="仿宋"/>
          <w:sz w:val="24"/>
        </w:rPr>
        <w:t>（2）工程地质</w:t>
      </w:r>
    </w:p>
    <w:p>
      <w:pPr>
        <w:autoSpaceDE w:val="0"/>
        <w:autoSpaceDN w:val="0"/>
        <w:spacing w:after="120" w:line="440" w:lineRule="exact"/>
        <w:ind w:firstLine="470" w:firstLineChars="196"/>
        <w:rPr>
          <w:rFonts w:ascii="仿宋" w:hAnsi="仿宋" w:eastAsia="仿宋"/>
          <w:kern w:val="0"/>
          <w:sz w:val="24"/>
        </w:rPr>
      </w:pPr>
      <w:r>
        <w:rPr>
          <w:rFonts w:hint="eastAsia" w:ascii="仿宋" w:hAnsi="仿宋" w:eastAsia="仿宋"/>
          <w:kern w:val="0"/>
          <w:sz w:val="24"/>
        </w:rPr>
        <w:t>通过土工及岩石物理力学试验，确定的本区岩石物理力学性质如下：</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松散层：岩石比重为2.69g/cm</w:t>
      </w:r>
      <w:r>
        <w:rPr>
          <w:rFonts w:hint="eastAsia" w:ascii="仿宋" w:hAnsi="仿宋" w:eastAsia="仿宋"/>
          <w:kern w:val="0"/>
          <w:sz w:val="24"/>
          <w:vertAlign w:val="superscript"/>
        </w:rPr>
        <w:t>3</w:t>
      </w:r>
      <w:r>
        <w:rPr>
          <w:rFonts w:hint="eastAsia" w:ascii="仿宋" w:hAnsi="仿宋" w:eastAsia="仿宋"/>
          <w:kern w:val="0"/>
          <w:sz w:val="24"/>
        </w:rPr>
        <w:t>，渗透系数5.6×10</w:t>
      </w:r>
      <w:r>
        <w:rPr>
          <w:rFonts w:hint="eastAsia" w:ascii="仿宋" w:hAnsi="仿宋" w:eastAsia="仿宋"/>
          <w:kern w:val="0"/>
          <w:sz w:val="24"/>
          <w:vertAlign w:val="superscript"/>
        </w:rPr>
        <w:t>-3</w:t>
      </w:r>
      <w:r>
        <w:rPr>
          <w:rFonts w:hint="eastAsia" w:ascii="仿宋" w:hAnsi="仿宋" w:eastAsia="仿宋"/>
          <w:kern w:val="0"/>
          <w:sz w:val="24"/>
        </w:rPr>
        <w:t>cm/s，不均匀系数2.18，含水量2.4%，孔隙度39%，天然休止角干燥40°、有水30°。</w:t>
      </w:r>
    </w:p>
    <w:p>
      <w:pPr>
        <w:autoSpaceDE w:val="0"/>
        <w:autoSpaceDN w:val="0"/>
        <w:spacing w:after="120" w:line="440" w:lineRule="exact"/>
        <w:ind w:firstLine="555"/>
        <w:rPr>
          <w:rFonts w:ascii="仿宋" w:hAnsi="仿宋" w:eastAsia="仿宋"/>
          <w:kern w:val="0"/>
          <w:sz w:val="24"/>
        </w:rPr>
      </w:pPr>
      <w:r>
        <w:rPr>
          <w:rFonts w:hint="eastAsia" w:ascii="仿宋" w:hAnsi="仿宋" w:eastAsia="仿宋"/>
          <w:kern w:val="0"/>
          <w:sz w:val="24"/>
        </w:rPr>
        <w:t>基岩：1-2煤层以上岩段的砂岩类的抗压强度为30.48MPa～50.69MPa，属特硬级。泥岩类的抗压强度为28.8MPa～105.2MPa，属特硬级，1-2煤抗压强度为14.1MPa～26.96MPa，属硬级。</w:t>
      </w:r>
    </w:p>
    <w:p>
      <w:pPr>
        <w:autoSpaceDE w:val="0"/>
        <w:autoSpaceDN w:val="0"/>
        <w:spacing w:after="120" w:line="440" w:lineRule="exact"/>
        <w:ind w:firstLine="555"/>
        <w:rPr>
          <w:rFonts w:ascii="仿宋" w:hAnsi="仿宋" w:eastAsia="仿宋"/>
          <w:kern w:val="0"/>
          <w:sz w:val="24"/>
        </w:rPr>
      </w:pPr>
      <w:r>
        <w:rPr>
          <w:rFonts w:hint="eastAsia" w:ascii="仿宋" w:hAnsi="仿宋" w:eastAsia="仿宋"/>
          <w:kern w:val="0"/>
          <w:sz w:val="24"/>
        </w:rPr>
        <w:t>从上述各类岩石的物理力学性质来看，松散层疏松，且休止角小，对边坡稳定不利，但对剥离有利。基岩大都属硬～特硬岩层，利于边坡的稳定，但对剥离不利。由于本区砂岩类的胶结物多为泥质成分，砂岩类遇水浸泡后，强度减弱，变得易碎，对边坡的稳定不利，在开采中应采取相应措施。</w:t>
      </w:r>
    </w:p>
    <w:p>
      <w:pPr>
        <w:autoSpaceDE w:val="0"/>
        <w:autoSpaceDN w:val="0"/>
        <w:spacing w:after="120" w:line="440" w:lineRule="exact"/>
        <w:ind w:firstLine="555"/>
        <w:rPr>
          <w:rFonts w:ascii="仿宋" w:hAnsi="仿宋" w:eastAsia="仿宋"/>
          <w:kern w:val="0"/>
          <w:sz w:val="24"/>
        </w:rPr>
      </w:pPr>
      <w:r>
        <w:rPr>
          <w:rFonts w:hint="eastAsia" w:ascii="仿宋" w:hAnsi="仿宋" w:eastAsia="仿宋"/>
          <w:kern w:val="0"/>
          <w:sz w:val="24"/>
        </w:rPr>
        <w:t>在本区的首采区东部，地质部门施工了W9及W19两个岩样孔，从岩芯情况来看，松散层分别为18.91m、5.67m，主要由砂土组成。基岩顶部（10m以内）由于风化的原因，岩芯较破碎。除此以外，全孔岩芯都很整状，呈完整的柱状。从描述上看，顶部及上部的砂岩类岩芯较发育，泥质胶结较疏松。中、下部的砂岩类、泥岩类的岩芯，均裂隙不发育，虽泥质胶结，均较致密、坚硬。</w:t>
      </w:r>
    </w:p>
    <w:p>
      <w:pPr>
        <w:autoSpaceDE w:val="0"/>
        <w:autoSpaceDN w:val="0"/>
        <w:spacing w:after="120" w:line="440" w:lineRule="exact"/>
        <w:ind w:firstLine="555"/>
        <w:rPr>
          <w:rFonts w:ascii="仿宋" w:hAnsi="仿宋" w:eastAsia="仿宋"/>
          <w:kern w:val="0"/>
          <w:sz w:val="24"/>
        </w:rPr>
      </w:pPr>
      <w:r>
        <w:rPr>
          <w:rFonts w:hint="eastAsia" w:ascii="仿宋" w:hAnsi="仿宋" w:eastAsia="仿宋"/>
          <w:kern w:val="0"/>
          <w:sz w:val="24"/>
        </w:rPr>
        <w:t>矿田内软岩层～粘土层极少发育，仅在个别点有较薄的粘土岩，但很快相变为泥岩、砂质泥岩及粉砂岩类，总体来讲粘土岩本身构不成对开采和边坡的危害。</w:t>
      </w:r>
    </w:p>
    <w:p>
      <w:pPr>
        <w:autoSpaceDE w:val="0"/>
        <w:autoSpaceDN w:val="0"/>
        <w:spacing w:after="120" w:line="440" w:lineRule="exact"/>
        <w:ind w:firstLine="555"/>
        <w:rPr>
          <w:rFonts w:ascii="仿宋" w:hAnsi="仿宋" w:eastAsia="仿宋"/>
          <w:kern w:val="0"/>
          <w:sz w:val="24"/>
        </w:rPr>
      </w:pPr>
      <w:r>
        <w:rPr>
          <w:rFonts w:hint="eastAsia" w:ascii="仿宋" w:hAnsi="仿宋" w:eastAsia="仿宋"/>
          <w:kern w:val="0"/>
          <w:sz w:val="24"/>
        </w:rPr>
        <w:t xml:space="preserve">岩石层：现采坑煤层以上有140m-170m厚度的岩石，主要由粉砂岩、泥岩组成，层理明显，节理不明显，其硬度f一般在7—8。该组含有动植物化石，多呈现水平状分布，自然安息角为38.5°。 </w:t>
      </w:r>
    </w:p>
    <w:p>
      <w:pPr>
        <w:autoSpaceDE w:val="0"/>
        <w:autoSpaceDN w:val="0"/>
        <w:spacing w:after="120" w:line="440" w:lineRule="exact"/>
        <w:ind w:firstLine="555"/>
        <w:rPr>
          <w:rFonts w:ascii="仿宋" w:hAnsi="仿宋" w:eastAsia="仿宋"/>
          <w:kern w:val="0"/>
          <w:sz w:val="24"/>
        </w:rPr>
      </w:pPr>
      <w:r>
        <w:rPr>
          <w:rFonts w:hint="eastAsia" w:ascii="仿宋" w:hAnsi="仿宋" w:eastAsia="仿宋"/>
          <w:kern w:val="0"/>
          <w:sz w:val="24"/>
        </w:rPr>
        <w:t>土层：2024-2025年无。</w:t>
      </w:r>
    </w:p>
    <w:p>
      <w:pPr>
        <w:pStyle w:val="2"/>
        <w:spacing w:line="240" w:lineRule="auto"/>
        <w:ind w:firstLine="602"/>
        <w:jc w:val="center"/>
        <w:rPr>
          <w:rFonts w:ascii="宋体" w:hAnsi="宋体" w:eastAsia="宋体"/>
          <w:sz w:val="30"/>
          <w:szCs w:val="30"/>
        </w:rPr>
      </w:pPr>
      <w:bookmarkStart w:id="42" w:name="_Toc251095768"/>
      <w:bookmarkEnd w:id="42"/>
      <w:bookmarkStart w:id="43" w:name="_Toc251095871"/>
      <w:bookmarkEnd w:id="43"/>
      <w:bookmarkStart w:id="44" w:name="_Toc30828"/>
      <w:bookmarkEnd w:id="44"/>
      <w:bookmarkStart w:id="45" w:name="_Toc251095238"/>
      <w:bookmarkEnd w:id="45"/>
      <w:bookmarkStart w:id="46" w:name="_Toc251094194"/>
      <w:bookmarkEnd w:id="46"/>
      <w:bookmarkStart w:id="47" w:name="_Toc251095682"/>
      <w:bookmarkEnd w:id="47"/>
      <w:bookmarkStart w:id="48" w:name="_Toc256980131"/>
      <w:bookmarkEnd w:id="48"/>
      <w:bookmarkStart w:id="49" w:name="_Toc251095714"/>
      <w:bookmarkEnd w:id="49"/>
      <w:bookmarkStart w:id="50" w:name="_Toc160008328"/>
      <w:r>
        <w:rPr>
          <w:rFonts w:hint="eastAsia" w:ascii="宋体" w:hAnsi="宋体" w:eastAsia="宋体"/>
          <w:sz w:val="30"/>
          <w:szCs w:val="30"/>
        </w:rPr>
        <w:t>第二部分   现有施工条件</w:t>
      </w:r>
      <w:bookmarkEnd w:id="50"/>
    </w:p>
    <w:p>
      <w:pPr>
        <w:numPr>
          <w:ilvl w:val="0"/>
          <w:numId w:val="2"/>
        </w:numPr>
        <w:autoSpaceDE w:val="0"/>
        <w:autoSpaceDN w:val="0"/>
        <w:spacing w:after="120" w:line="440" w:lineRule="exact"/>
        <w:jc w:val="center"/>
        <w:rPr>
          <w:rFonts w:ascii="仿宋" w:hAnsi="仿宋" w:eastAsia="仿宋"/>
          <w:kern w:val="0"/>
          <w:sz w:val="24"/>
        </w:rPr>
      </w:pPr>
      <w:bookmarkStart w:id="51" w:name="_Toc251095769"/>
      <w:bookmarkEnd w:id="51"/>
      <w:bookmarkStart w:id="52" w:name="_Toc251095683"/>
      <w:bookmarkEnd w:id="52"/>
      <w:bookmarkStart w:id="53" w:name="_Toc251094195"/>
      <w:bookmarkEnd w:id="53"/>
      <w:bookmarkStart w:id="54" w:name="_Toc256980132"/>
      <w:bookmarkEnd w:id="54"/>
      <w:bookmarkStart w:id="55" w:name="_Toc251095872"/>
      <w:bookmarkEnd w:id="55"/>
      <w:bookmarkStart w:id="56" w:name="_Toc1143"/>
      <w:bookmarkEnd w:id="56"/>
      <w:bookmarkStart w:id="57" w:name="_Toc251095715"/>
      <w:bookmarkEnd w:id="57"/>
      <w:bookmarkStart w:id="58" w:name="_Toc251095239"/>
      <w:bookmarkEnd w:id="58"/>
      <w:r>
        <w:rPr>
          <w:rFonts w:hint="eastAsia" w:ascii="仿宋" w:hAnsi="仿宋" w:eastAsia="仿宋"/>
          <w:kern w:val="0"/>
          <w:sz w:val="24"/>
        </w:rPr>
        <w:t>道路</w:t>
      </w:r>
    </w:p>
    <w:p>
      <w:pPr>
        <w:autoSpaceDE w:val="0"/>
        <w:autoSpaceDN w:val="0"/>
        <w:spacing w:line="440" w:lineRule="exact"/>
        <w:ind w:firstLine="480" w:firstLineChars="200"/>
        <w:rPr>
          <w:rFonts w:ascii="仿宋" w:hAnsi="仿宋" w:eastAsia="仿宋"/>
          <w:kern w:val="0"/>
          <w:sz w:val="24"/>
        </w:rPr>
      </w:pPr>
      <w:r>
        <w:rPr>
          <w:rFonts w:hint="eastAsia" w:ascii="仿宋" w:hAnsi="仿宋" w:eastAsia="仿宋"/>
          <w:kern w:val="0"/>
          <w:sz w:val="24"/>
        </w:rPr>
        <w:t>现已形成北端帮运输主干线和中部搭接路连接采场及排土场道路；采场及排土场道路根据平盘推进及时进行移设。</w:t>
      </w:r>
    </w:p>
    <w:p>
      <w:pPr>
        <w:autoSpaceDE w:val="0"/>
        <w:autoSpaceDN w:val="0"/>
        <w:spacing w:line="440" w:lineRule="exact"/>
        <w:jc w:val="center"/>
        <w:rPr>
          <w:rFonts w:ascii="仿宋" w:hAnsi="仿宋" w:eastAsia="仿宋"/>
          <w:kern w:val="0"/>
          <w:sz w:val="24"/>
        </w:rPr>
      </w:pPr>
      <w:bookmarkStart w:id="59" w:name="_Toc251095873"/>
      <w:bookmarkEnd w:id="59"/>
      <w:bookmarkStart w:id="60" w:name="_Toc256980133"/>
      <w:bookmarkEnd w:id="60"/>
      <w:bookmarkStart w:id="61" w:name="_Toc251094196"/>
      <w:bookmarkEnd w:id="61"/>
      <w:bookmarkStart w:id="62" w:name="_Toc13651"/>
      <w:bookmarkEnd w:id="62"/>
      <w:bookmarkStart w:id="63" w:name="_Toc251095770"/>
      <w:bookmarkEnd w:id="63"/>
      <w:bookmarkStart w:id="64" w:name="_Toc251095240"/>
      <w:bookmarkEnd w:id="64"/>
      <w:bookmarkStart w:id="65" w:name="_Toc251095716"/>
      <w:bookmarkEnd w:id="65"/>
      <w:bookmarkStart w:id="66" w:name="_Toc251095684"/>
      <w:bookmarkEnd w:id="66"/>
      <w:r>
        <w:rPr>
          <w:rFonts w:hint="eastAsia" w:ascii="仿宋" w:hAnsi="仿宋" w:eastAsia="仿宋"/>
          <w:kern w:val="0"/>
          <w:sz w:val="24"/>
        </w:rPr>
        <w:t>第二节 用电条件</w:t>
      </w:r>
    </w:p>
    <w:p>
      <w:pPr>
        <w:autoSpaceDE w:val="0"/>
        <w:autoSpaceDN w:val="0"/>
        <w:spacing w:line="440" w:lineRule="exact"/>
        <w:ind w:firstLine="480" w:firstLineChars="200"/>
        <w:rPr>
          <w:rFonts w:ascii="仿宋" w:hAnsi="仿宋" w:eastAsia="仿宋"/>
          <w:kern w:val="0"/>
          <w:sz w:val="24"/>
        </w:rPr>
      </w:pPr>
      <w:r>
        <w:rPr>
          <w:rFonts w:hint="eastAsia" w:ascii="仿宋" w:hAnsi="仿宋" w:eastAsia="仿宋"/>
          <w:kern w:val="0"/>
          <w:sz w:val="24"/>
        </w:rPr>
        <w:t>武家塔露天煤矿供电系统为双电源双回路供电。</w:t>
      </w:r>
    </w:p>
    <w:p>
      <w:pPr>
        <w:autoSpaceDE w:val="0"/>
        <w:autoSpaceDN w:val="0"/>
        <w:spacing w:line="440" w:lineRule="exact"/>
        <w:ind w:firstLine="480" w:firstLineChars="200"/>
        <w:rPr>
          <w:rFonts w:ascii="仿宋" w:hAnsi="仿宋" w:eastAsia="仿宋"/>
          <w:kern w:val="0"/>
          <w:sz w:val="24"/>
        </w:rPr>
      </w:pPr>
      <w:r>
        <w:rPr>
          <w:rFonts w:hint="eastAsia" w:ascii="仿宋" w:hAnsi="仿宋" w:eastAsia="仿宋"/>
          <w:kern w:val="0"/>
          <w:sz w:val="24"/>
        </w:rPr>
        <w:t>1、6KV配电室：由神东供电中心武家塔35KV变电站6千伏侧双回路编号为6211线路、6115线路，线路长均为2.1公里，通过架空线引入矿工业广场6KV配电室并馈出线至厂区、采场。</w:t>
      </w:r>
    </w:p>
    <w:p>
      <w:pPr>
        <w:autoSpaceDE w:val="0"/>
        <w:autoSpaceDN w:val="0"/>
        <w:spacing w:line="440" w:lineRule="exact"/>
        <w:ind w:firstLine="480" w:firstLineChars="200"/>
        <w:rPr>
          <w:rFonts w:ascii="仿宋" w:hAnsi="仿宋" w:eastAsia="仿宋"/>
          <w:kern w:val="0"/>
          <w:sz w:val="24"/>
        </w:rPr>
      </w:pPr>
      <w:r>
        <w:rPr>
          <w:rFonts w:hint="eastAsia" w:ascii="仿宋" w:hAnsi="仿宋" w:eastAsia="仿宋"/>
          <w:kern w:val="0"/>
          <w:sz w:val="24"/>
        </w:rPr>
        <w:t>2、10KV变电站：由国家电网神木供电分公司李家畔35KV变电站编号为158线路引入武家塔10KV变电站，线路长度7.1公里。</w:t>
      </w:r>
    </w:p>
    <w:p>
      <w:pPr>
        <w:autoSpaceDE w:val="0"/>
        <w:autoSpaceDN w:val="0"/>
        <w:spacing w:line="440" w:lineRule="exact"/>
        <w:ind w:firstLine="480" w:firstLineChars="200"/>
        <w:rPr>
          <w:rFonts w:ascii="仿宋" w:hAnsi="仿宋" w:eastAsia="仿宋"/>
          <w:kern w:val="0"/>
          <w:sz w:val="24"/>
        </w:rPr>
      </w:pPr>
      <w:r>
        <w:rPr>
          <w:rFonts w:hint="eastAsia" w:ascii="仿宋" w:hAnsi="仿宋" w:eastAsia="仿宋"/>
          <w:kern w:val="0"/>
          <w:sz w:val="24"/>
        </w:rPr>
        <w:t>10KV变电站通过主变压器把10KV变为6KV并通过馈出线柜引入采场使用。10KV变电站双电源其中主回路通过武家塔露天煤矿10KV变电站主变压器变为6KV供电，另一回路由6KV配电室6104开关柜通过架空线、高压电缆接入10KV变电站6KV高压室6104备用电源开关柜，经编号为6700隔离柜接入6KV母线侧。</w:t>
      </w:r>
    </w:p>
    <w:p>
      <w:pPr>
        <w:autoSpaceDE w:val="0"/>
        <w:autoSpaceDN w:val="0"/>
        <w:spacing w:line="440" w:lineRule="exact"/>
        <w:ind w:firstLine="480" w:firstLineChars="200"/>
        <w:rPr>
          <w:rFonts w:ascii="仿宋" w:hAnsi="仿宋" w:eastAsia="仿宋"/>
          <w:kern w:val="0"/>
          <w:sz w:val="24"/>
        </w:rPr>
      </w:pPr>
      <w:r>
        <w:rPr>
          <w:rFonts w:hint="eastAsia" w:ascii="仿宋" w:hAnsi="仿宋" w:eastAsia="仿宋"/>
          <w:kern w:val="0"/>
          <w:sz w:val="24"/>
        </w:rPr>
        <w:t>全矿用电装机总容量11000KW（其中储煤棚筛选系统的总容量2000KW），10KV变电站主变压器容量为8000KVA，6KV配电室总容量为4800KW。</w:t>
      </w:r>
    </w:p>
    <w:p>
      <w:pPr>
        <w:autoSpaceDE w:val="0"/>
        <w:autoSpaceDN w:val="0"/>
        <w:spacing w:line="440" w:lineRule="exact"/>
        <w:jc w:val="center"/>
        <w:rPr>
          <w:rFonts w:hint="eastAsia" w:ascii="仿宋" w:hAnsi="仿宋" w:eastAsia="仿宋"/>
          <w:kern w:val="0"/>
          <w:sz w:val="24"/>
        </w:rPr>
      </w:pPr>
      <w:bookmarkStart w:id="67" w:name="_Toc23158"/>
      <w:bookmarkEnd w:id="67"/>
      <w:bookmarkStart w:id="68" w:name="_Toc251095241"/>
      <w:bookmarkEnd w:id="68"/>
      <w:bookmarkStart w:id="69" w:name="_Toc251094197"/>
      <w:bookmarkEnd w:id="69"/>
      <w:bookmarkStart w:id="70" w:name="_Toc251095874"/>
      <w:bookmarkEnd w:id="70"/>
      <w:bookmarkStart w:id="71" w:name="_Toc256980134"/>
      <w:bookmarkEnd w:id="71"/>
      <w:bookmarkStart w:id="72" w:name="_Toc251095685"/>
      <w:bookmarkEnd w:id="72"/>
      <w:bookmarkStart w:id="73" w:name="_Toc251095771"/>
      <w:bookmarkEnd w:id="73"/>
      <w:bookmarkStart w:id="74" w:name="_Toc251095717"/>
      <w:bookmarkEnd w:id="74"/>
    </w:p>
    <w:p>
      <w:pPr>
        <w:autoSpaceDE w:val="0"/>
        <w:autoSpaceDN w:val="0"/>
        <w:spacing w:line="440" w:lineRule="exact"/>
        <w:jc w:val="center"/>
        <w:rPr>
          <w:rFonts w:ascii="仿宋" w:hAnsi="仿宋" w:eastAsia="仿宋"/>
          <w:kern w:val="0"/>
          <w:sz w:val="24"/>
        </w:rPr>
      </w:pPr>
      <w:r>
        <w:rPr>
          <w:rFonts w:hint="eastAsia" w:ascii="仿宋" w:hAnsi="仿宋" w:eastAsia="仿宋"/>
          <w:kern w:val="0"/>
          <w:sz w:val="24"/>
        </w:rPr>
        <w:t>第三节 通信条件</w:t>
      </w:r>
    </w:p>
    <w:p>
      <w:pPr>
        <w:autoSpaceDE w:val="0"/>
        <w:autoSpaceDN w:val="0"/>
        <w:spacing w:line="440" w:lineRule="exact"/>
        <w:ind w:firstLine="480" w:firstLineChars="200"/>
        <w:rPr>
          <w:rFonts w:ascii="仿宋" w:hAnsi="仿宋" w:eastAsia="仿宋"/>
          <w:kern w:val="0"/>
          <w:sz w:val="24"/>
        </w:rPr>
      </w:pPr>
      <w:bookmarkStart w:id="75" w:name="_Toc251095772"/>
      <w:bookmarkStart w:id="76" w:name="_Toc251095875"/>
      <w:bookmarkStart w:id="77" w:name="_Toc251095242"/>
      <w:bookmarkStart w:id="78" w:name="_Toc251094198"/>
      <w:bookmarkStart w:id="79" w:name="_Toc251095686"/>
      <w:bookmarkStart w:id="80" w:name="_Toc24537"/>
      <w:bookmarkStart w:id="81" w:name="_Toc251095718"/>
      <w:bookmarkStart w:id="82" w:name="_Toc256980135"/>
      <w:r>
        <w:rPr>
          <w:rFonts w:hint="eastAsia" w:ascii="仿宋" w:hAnsi="仿宋" w:eastAsia="仿宋"/>
          <w:kern w:val="0"/>
          <w:sz w:val="24"/>
        </w:rPr>
        <w:t>1、我矿与移动公司和联通公司合作在采坑架设2个移动通信基站（4G信号），实现采坑4G通讯覆盖，网络信号传输。其中在北部端帮设移动基站，10KV变电站设联通基站。</w:t>
      </w:r>
    </w:p>
    <w:p>
      <w:pPr>
        <w:autoSpaceDE w:val="0"/>
        <w:autoSpaceDN w:val="0"/>
        <w:spacing w:line="440" w:lineRule="exact"/>
        <w:ind w:firstLine="480" w:firstLineChars="200"/>
        <w:rPr>
          <w:rFonts w:ascii="仿宋" w:hAnsi="仿宋" w:eastAsia="仿宋"/>
          <w:kern w:val="0"/>
          <w:sz w:val="24"/>
        </w:rPr>
      </w:pPr>
      <w:r>
        <w:rPr>
          <w:rFonts w:hint="eastAsia" w:ascii="仿宋" w:hAnsi="仿宋" w:eastAsia="仿宋"/>
          <w:kern w:val="0"/>
          <w:sz w:val="24"/>
        </w:rPr>
        <w:t>2、采坑南北部各有3个主网桥（科讯5.8GWirelessCPE），信号覆盖采坑，通过客户端网桥（科讯5.8GWirelessCPE）连接使刷卡区数据及时传送回矿办公室。</w:t>
      </w:r>
    </w:p>
    <w:p>
      <w:pPr>
        <w:autoSpaceDE w:val="0"/>
        <w:autoSpaceDN w:val="0"/>
        <w:spacing w:line="440" w:lineRule="exact"/>
        <w:ind w:firstLine="480" w:firstLineChars="200"/>
        <w:rPr>
          <w:rFonts w:ascii="仿宋" w:hAnsi="仿宋" w:eastAsia="仿宋"/>
          <w:kern w:val="0"/>
          <w:sz w:val="24"/>
        </w:rPr>
      </w:pPr>
      <w:r>
        <w:rPr>
          <w:rFonts w:hint="eastAsia" w:ascii="仿宋" w:hAnsi="仿宋" w:eastAsia="仿宋"/>
          <w:kern w:val="0"/>
          <w:sz w:val="24"/>
        </w:rPr>
        <w:t>3、采坑主要采用手机通信和对讲机联系，对讲机型号为九伯通PT-1000MINI。调度室两台电话使用SH3000D调度台，两台电话使用纽曼HL2008TSD录音电话机。</w:t>
      </w:r>
    </w:p>
    <w:bookmarkEnd w:id="75"/>
    <w:bookmarkEnd w:id="76"/>
    <w:bookmarkEnd w:id="77"/>
    <w:bookmarkEnd w:id="78"/>
    <w:bookmarkEnd w:id="79"/>
    <w:bookmarkEnd w:id="80"/>
    <w:bookmarkEnd w:id="81"/>
    <w:bookmarkEnd w:id="82"/>
    <w:p>
      <w:pPr>
        <w:autoSpaceDE w:val="0"/>
        <w:autoSpaceDN w:val="0"/>
        <w:spacing w:line="440" w:lineRule="exact"/>
        <w:ind w:firstLine="480" w:firstLineChars="200"/>
        <w:jc w:val="center"/>
        <w:rPr>
          <w:rFonts w:ascii="仿宋" w:hAnsi="仿宋" w:eastAsia="仿宋"/>
          <w:kern w:val="0"/>
          <w:sz w:val="24"/>
        </w:rPr>
      </w:pPr>
      <w:r>
        <w:rPr>
          <w:rFonts w:hint="eastAsia" w:ascii="仿宋" w:hAnsi="仿宋" w:eastAsia="仿宋"/>
          <w:kern w:val="0"/>
          <w:sz w:val="24"/>
        </w:rPr>
        <w:t>第四节 用水条件</w:t>
      </w:r>
    </w:p>
    <w:p>
      <w:pPr>
        <w:autoSpaceDE w:val="0"/>
        <w:autoSpaceDN w:val="0"/>
        <w:spacing w:after="120" w:line="440" w:lineRule="exact"/>
        <w:ind w:firstLine="560"/>
        <w:rPr>
          <w:rFonts w:ascii="仿宋" w:hAnsi="仿宋" w:eastAsia="仿宋"/>
          <w:kern w:val="0"/>
          <w:sz w:val="24"/>
        </w:rPr>
      </w:pPr>
      <w:r>
        <w:rPr>
          <w:rFonts w:hint="eastAsia" w:ascii="仿宋" w:hAnsi="仿宋" w:eastAsia="仿宋"/>
          <w:kern w:val="0"/>
          <w:sz w:val="24"/>
        </w:rPr>
        <w:t>露天矿一般生产生活用水水源为考考赖沟水厂，该水源距离露天矿约20 Km。武家塔露天矿一般生产生活用水管道T接于水厂至上湾生活区DN500供水管道，接管点至武家塔露天矿约3.5 Km，露天矿工业场地与接管点处的地形高差为20m。中途通过管道泵加压，进入露天矿工业场地水泵房50 m</w:t>
      </w:r>
      <w:r>
        <w:rPr>
          <w:rFonts w:hint="eastAsia" w:ascii="仿宋" w:hAnsi="仿宋" w:eastAsia="仿宋"/>
          <w:kern w:val="0"/>
          <w:sz w:val="24"/>
          <w:vertAlign w:val="superscript"/>
        </w:rPr>
        <w:t>3</w:t>
      </w:r>
      <w:r>
        <w:rPr>
          <w:rFonts w:hint="eastAsia" w:ascii="仿宋" w:hAnsi="仿宋" w:eastAsia="仿宋"/>
          <w:kern w:val="0"/>
          <w:sz w:val="24"/>
        </w:rPr>
        <w:t>水池。该水厂供水水质符合《生活饮用水卫生标准》。</w:t>
      </w:r>
    </w:p>
    <w:p>
      <w:pPr>
        <w:autoSpaceDE w:val="0"/>
        <w:autoSpaceDN w:val="0"/>
        <w:spacing w:after="120" w:line="440" w:lineRule="exact"/>
        <w:ind w:firstLine="560"/>
        <w:rPr>
          <w:rFonts w:ascii="仿宋" w:hAnsi="仿宋" w:eastAsia="仿宋"/>
          <w:kern w:val="0"/>
          <w:sz w:val="24"/>
        </w:rPr>
      </w:pPr>
      <w:r>
        <w:rPr>
          <w:rFonts w:hint="eastAsia" w:ascii="仿宋" w:hAnsi="仿宋" w:eastAsia="仿宋"/>
          <w:kern w:val="0"/>
          <w:sz w:val="24"/>
        </w:rPr>
        <w:t>露天矿疏干排水经坑内沉淀池沉淀后复用于矿山道路洒水。不足部分由石灰沟的河水作为补充，根据防洪评价报告，50年一遇洪峰流量为129m</w:t>
      </w:r>
      <w:r>
        <w:rPr>
          <w:rFonts w:eastAsia="仿宋" w:cs="Calibri"/>
          <w:kern w:val="0"/>
          <w:sz w:val="24"/>
        </w:rPr>
        <w:t>³</w:t>
      </w:r>
      <w:r>
        <w:rPr>
          <w:rFonts w:hint="eastAsia" w:ascii="仿宋" w:hAnsi="仿宋" w:eastAsia="仿宋"/>
          <w:kern w:val="0"/>
          <w:sz w:val="24"/>
        </w:rPr>
        <w:t>/s，石灰沟控制断面以上的设计洪水总量为305万m</w:t>
      </w:r>
      <w:r>
        <w:rPr>
          <w:rFonts w:eastAsia="仿宋" w:cs="Calibri"/>
          <w:kern w:val="0"/>
          <w:sz w:val="24"/>
        </w:rPr>
        <w:t>³</w:t>
      </w:r>
      <w:r>
        <w:rPr>
          <w:rFonts w:hint="eastAsia" w:ascii="仿宋" w:hAnsi="仿宋" w:eastAsia="仿宋" w:cs="仿宋"/>
          <w:kern w:val="0"/>
          <w:sz w:val="24"/>
        </w:rPr>
        <w:t>，洪水位标高为</w:t>
      </w:r>
      <w:r>
        <w:rPr>
          <w:rFonts w:hint="eastAsia" w:ascii="仿宋" w:hAnsi="仿宋" w:eastAsia="仿宋"/>
          <w:kern w:val="0"/>
          <w:sz w:val="24"/>
        </w:rPr>
        <w:t>1147.78m；100年一遇洪峰流量为165m</w:t>
      </w:r>
      <w:r>
        <w:rPr>
          <w:rFonts w:eastAsia="仿宋" w:cs="Calibri"/>
          <w:kern w:val="0"/>
          <w:sz w:val="24"/>
        </w:rPr>
        <w:t>³</w:t>
      </w:r>
      <w:r>
        <w:rPr>
          <w:rFonts w:hint="eastAsia" w:ascii="仿宋" w:hAnsi="仿宋" w:eastAsia="仿宋"/>
          <w:kern w:val="0"/>
          <w:sz w:val="24"/>
        </w:rPr>
        <w:t>/s，石灰沟控制断面以上的设计洪水总量为446万m</w:t>
      </w:r>
      <w:r>
        <w:rPr>
          <w:rFonts w:eastAsia="仿宋" w:cs="Calibri"/>
          <w:kern w:val="0"/>
          <w:sz w:val="24"/>
        </w:rPr>
        <w:t>³</w:t>
      </w:r>
      <w:r>
        <w:rPr>
          <w:rFonts w:hint="eastAsia" w:ascii="仿宋" w:hAnsi="仿宋" w:eastAsia="仿宋" w:cs="仿宋"/>
          <w:kern w:val="0"/>
          <w:sz w:val="24"/>
        </w:rPr>
        <w:t>，洪水位标高为</w:t>
      </w:r>
      <w:r>
        <w:rPr>
          <w:rFonts w:hint="eastAsia" w:ascii="仿宋" w:hAnsi="仿宋" w:eastAsia="仿宋"/>
          <w:kern w:val="0"/>
          <w:sz w:val="24"/>
        </w:rPr>
        <w:t>1147.90m。</w:t>
      </w:r>
    </w:p>
    <w:p>
      <w:pPr>
        <w:pStyle w:val="2"/>
        <w:spacing w:line="240" w:lineRule="auto"/>
        <w:ind w:firstLine="602"/>
        <w:jc w:val="center"/>
        <w:rPr>
          <w:rFonts w:ascii="宋体" w:hAnsi="宋体" w:eastAsia="宋体"/>
          <w:sz w:val="30"/>
          <w:szCs w:val="30"/>
        </w:rPr>
      </w:pPr>
      <w:bookmarkStart w:id="83" w:name="_Toc14004"/>
      <w:bookmarkEnd w:id="83"/>
      <w:bookmarkStart w:id="84" w:name="_Toc251095774"/>
      <w:bookmarkEnd w:id="84"/>
      <w:bookmarkStart w:id="85" w:name="_Toc251095244"/>
      <w:bookmarkEnd w:id="85"/>
      <w:bookmarkStart w:id="86" w:name="_Toc251095688"/>
      <w:bookmarkEnd w:id="86"/>
      <w:bookmarkStart w:id="87" w:name="_Toc256980137"/>
      <w:bookmarkEnd w:id="87"/>
      <w:bookmarkStart w:id="88" w:name="_Toc251095720"/>
      <w:bookmarkEnd w:id="88"/>
      <w:bookmarkStart w:id="89" w:name="_Toc251094200"/>
      <w:bookmarkEnd w:id="89"/>
      <w:bookmarkStart w:id="90" w:name="_Toc251095877"/>
      <w:bookmarkEnd w:id="90"/>
      <w:bookmarkStart w:id="91" w:name="_Toc160008329"/>
      <w:r>
        <w:rPr>
          <w:rFonts w:hint="eastAsia" w:ascii="宋体" w:hAnsi="宋体" w:eastAsia="宋体"/>
          <w:sz w:val="30"/>
          <w:szCs w:val="30"/>
        </w:rPr>
        <w:t>第三部分  招标范围和招标工程量</w:t>
      </w:r>
      <w:bookmarkEnd w:id="91"/>
    </w:p>
    <w:p>
      <w:pPr>
        <w:autoSpaceDE w:val="0"/>
        <w:autoSpaceDN w:val="0"/>
        <w:spacing w:line="400" w:lineRule="exact"/>
        <w:jc w:val="center"/>
        <w:rPr>
          <w:rFonts w:ascii="仿宋" w:hAnsi="仿宋" w:eastAsia="仿宋"/>
          <w:kern w:val="0"/>
          <w:sz w:val="24"/>
        </w:rPr>
      </w:pPr>
      <w:bookmarkStart w:id="92" w:name="_Toc251095878"/>
      <w:bookmarkEnd w:id="92"/>
      <w:bookmarkStart w:id="93" w:name="_Toc251095775"/>
      <w:bookmarkEnd w:id="93"/>
      <w:bookmarkStart w:id="94" w:name="_Toc251094201"/>
      <w:bookmarkEnd w:id="94"/>
      <w:bookmarkStart w:id="95" w:name="_Toc251095245"/>
      <w:bookmarkEnd w:id="95"/>
      <w:bookmarkStart w:id="96" w:name="_Toc616"/>
      <w:bookmarkEnd w:id="96"/>
      <w:bookmarkStart w:id="97" w:name="_Toc251095689"/>
      <w:bookmarkEnd w:id="97"/>
      <w:bookmarkStart w:id="98" w:name="_Toc251095721"/>
      <w:bookmarkEnd w:id="98"/>
      <w:bookmarkStart w:id="99" w:name="_Toc256980138"/>
      <w:bookmarkEnd w:id="99"/>
      <w:r>
        <w:rPr>
          <w:rFonts w:hint="eastAsia" w:ascii="仿宋" w:hAnsi="仿宋" w:eastAsia="仿宋"/>
          <w:kern w:val="0"/>
          <w:sz w:val="24"/>
        </w:rPr>
        <w:t>第一节  投标要求</w:t>
      </w:r>
    </w:p>
    <w:p>
      <w:pPr>
        <w:autoSpaceDE w:val="0"/>
        <w:autoSpaceDN w:val="0"/>
        <w:spacing w:line="400" w:lineRule="exact"/>
        <w:rPr>
          <w:rFonts w:ascii="仿宋" w:hAnsi="仿宋" w:eastAsia="仿宋"/>
          <w:kern w:val="0"/>
          <w:sz w:val="24"/>
        </w:rPr>
      </w:pPr>
      <w:bookmarkStart w:id="100" w:name="_Toc251095722"/>
      <w:bookmarkStart w:id="101" w:name="_Toc251095879"/>
      <w:bookmarkStart w:id="102" w:name="_Toc256980139"/>
      <w:bookmarkStart w:id="103" w:name="_Toc251094202"/>
      <w:bookmarkStart w:id="104" w:name="_Toc251095246"/>
      <w:bookmarkStart w:id="105" w:name="_Toc251095776"/>
      <w:bookmarkStart w:id="106" w:name="_Toc251095690"/>
      <w:r>
        <w:rPr>
          <w:rFonts w:hint="eastAsia" w:ascii="仿宋" w:hAnsi="仿宋" w:eastAsia="仿宋"/>
          <w:kern w:val="0"/>
          <w:sz w:val="24"/>
        </w:rPr>
        <w:t>（1）须为在中华人民共和国注册成立的独立法人单位；</w:t>
      </w:r>
    </w:p>
    <w:p>
      <w:pPr>
        <w:autoSpaceDE w:val="0"/>
        <w:autoSpaceDN w:val="0"/>
        <w:spacing w:line="400" w:lineRule="exact"/>
        <w:rPr>
          <w:rFonts w:ascii="仿宋" w:hAnsi="仿宋" w:eastAsia="仿宋"/>
          <w:kern w:val="0"/>
          <w:sz w:val="24"/>
        </w:rPr>
      </w:pPr>
      <w:r>
        <w:rPr>
          <w:rFonts w:hint="eastAsia" w:ascii="仿宋" w:hAnsi="仿宋" w:eastAsia="仿宋"/>
          <w:kern w:val="0"/>
          <w:sz w:val="24"/>
        </w:rPr>
        <w:t>（2）应具有矿山工程施工总承包贰级及以上企业资质；</w:t>
      </w:r>
    </w:p>
    <w:p>
      <w:pPr>
        <w:autoSpaceDE w:val="0"/>
        <w:autoSpaceDN w:val="0"/>
        <w:spacing w:line="400" w:lineRule="exact"/>
        <w:rPr>
          <w:rFonts w:ascii="仿宋" w:hAnsi="仿宋" w:eastAsia="仿宋"/>
          <w:kern w:val="0"/>
          <w:sz w:val="24"/>
        </w:rPr>
      </w:pPr>
      <w:r>
        <w:rPr>
          <w:rFonts w:hint="eastAsia" w:ascii="仿宋" w:hAnsi="仿宋" w:eastAsia="仿宋"/>
          <w:kern w:val="0"/>
          <w:sz w:val="24"/>
        </w:rPr>
        <w:t>（3）本项目不允许联合体投标。</w:t>
      </w:r>
    </w:p>
    <w:bookmarkEnd w:id="100"/>
    <w:bookmarkEnd w:id="101"/>
    <w:bookmarkEnd w:id="102"/>
    <w:bookmarkEnd w:id="103"/>
    <w:bookmarkEnd w:id="104"/>
    <w:bookmarkEnd w:id="105"/>
    <w:bookmarkEnd w:id="106"/>
    <w:p>
      <w:pPr>
        <w:autoSpaceDE w:val="0"/>
        <w:autoSpaceDN w:val="0"/>
        <w:spacing w:line="400" w:lineRule="exact"/>
        <w:jc w:val="center"/>
        <w:rPr>
          <w:rFonts w:ascii="仿宋" w:hAnsi="仿宋" w:eastAsia="仿宋"/>
          <w:kern w:val="0"/>
          <w:sz w:val="24"/>
        </w:rPr>
      </w:pPr>
      <w:bookmarkStart w:id="107" w:name="_Toc28674"/>
      <w:bookmarkEnd w:id="107"/>
      <w:r>
        <w:rPr>
          <w:rFonts w:hint="eastAsia" w:ascii="仿宋" w:hAnsi="仿宋" w:eastAsia="仿宋"/>
          <w:kern w:val="0"/>
          <w:sz w:val="24"/>
        </w:rPr>
        <w:t>第二节  招标范围</w:t>
      </w:r>
    </w:p>
    <w:p>
      <w:pPr>
        <w:autoSpaceDE w:val="0"/>
        <w:autoSpaceDN w:val="0"/>
        <w:spacing w:line="400" w:lineRule="exact"/>
        <w:ind w:firstLine="480" w:firstLineChars="200"/>
        <w:rPr>
          <w:rFonts w:hint="eastAsia" w:ascii="仿宋" w:hAnsi="仿宋" w:eastAsia="仿宋"/>
          <w:color w:val="auto"/>
          <w:kern w:val="0"/>
          <w:sz w:val="24"/>
          <w:lang w:eastAsia="zh-CN"/>
        </w:rPr>
      </w:pPr>
      <w:r>
        <w:rPr>
          <w:rFonts w:hint="eastAsia" w:ascii="仿宋" w:hAnsi="仿宋" w:eastAsia="仿宋"/>
          <w:kern w:val="0"/>
          <w:sz w:val="24"/>
        </w:rPr>
        <w:t>本次招标工程确定为</w:t>
      </w:r>
      <w:r>
        <w:rPr>
          <w:rFonts w:hint="eastAsia" w:ascii="仿宋" w:hAnsi="仿宋" w:eastAsia="仿宋"/>
          <w:sz w:val="24"/>
        </w:rPr>
        <w:t>内蒙古神东天隆集团股份有限公司武家塔露天煤矿井田西部采区3号煤以上剥离台阶剥离的土石方装、运、排（包括二次剥离土石方）及装、运、排过程中的洒水降尘、修路、二次破碎工程</w:t>
      </w:r>
      <w:r>
        <w:rPr>
          <w:rFonts w:hint="eastAsia" w:ascii="仿宋" w:hAnsi="仿宋" w:eastAsia="仿宋"/>
          <w:kern w:val="0"/>
          <w:sz w:val="24"/>
        </w:rPr>
        <w:t>。招标施工范围为武家塔露天煤矿露天采场。</w:t>
      </w:r>
      <w:r>
        <w:rPr>
          <w:rFonts w:hint="eastAsia" w:ascii="仿宋" w:hAnsi="仿宋" w:eastAsia="仿宋"/>
          <w:color w:val="auto"/>
          <w:kern w:val="0"/>
          <w:sz w:val="24"/>
        </w:rPr>
        <w:t>详见</w:t>
      </w:r>
      <w:r>
        <w:rPr>
          <w:rFonts w:hint="eastAsia" w:ascii="仿宋" w:hAnsi="仿宋" w:eastAsia="仿宋"/>
          <w:color w:val="auto"/>
          <w:kern w:val="0"/>
          <w:sz w:val="24"/>
          <w:lang w:val="en-US" w:eastAsia="zh-CN"/>
        </w:rPr>
        <w:t>附件</w:t>
      </w:r>
      <w:r>
        <w:rPr>
          <w:rFonts w:hint="eastAsia" w:ascii="仿宋" w:hAnsi="仿宋" w:eastAsia="仿宋"/>
          <w:color w:val="auto"/>
          <w:kern w:val="0"/>
          <w:sz w:val="24"/>
        </w:rPr>
        <w:t>《神东天隆集团公司武家塔露天煤矿采剥、排土工程平面图》</w:t>
      </w:r>
      <w:r>
        <w:rPr>
          <w:rFonts w:hint="eastAsia" w:ascii="仿宋" w:hAnsi="仿宋" w:eastAsia="仿宋"/>
          <w:color w:val="auto"/>
          <w:kern w:val="0"/>
          <w:sz w:val="24"/>
          <w:lang w:eastAsia="zh-CN"/>
        </w:rPr>
        <w:t>。</w:t>
      </w:r>
    </w:p>
    <w:p>
      <w:pPr>
        <w:autoSpaceDE w:val="0"/>
        <w:autoSpaceDN w:val="0"/>
        <w:spacing w:line="440" w:lineRule="exact"/>
        <w:jc w:val="center"/>
        <w:rPr>
          <w:rFonts w:ascii="仿宋" w:hAnsi="仿宋" w:eastAsia="仿宋"/>
          <w:kern w:val="0"/>
          <w:sz w:val="24"/>
        </w:rPr>
      </w:pPr>
      <w:bookmarkStart w:id="108" w:name="_Toc28741"/>
      <w:bookmarkEnd w:id="108"/>
      <w:bookmarkStart w:id="109" w:name="_Toc251095247"/>
      <w:bookmarkEnd w:id="109"/>
      <w:bookmarkStart w:id="110" w:name="_Toc251095691"/>
      <w:bookmarkEnd w:id="110"/>
      <w:bookmarkStart w:id="111" w:name="_Toc251095880"/>
      <w:bookmarkEnd w:id="111"/>
      <w:bookmarkStart w:id="112" w:name="_Toc251095777"/>
      <w:bookmarkEnd w:id="112"/>
      <w:bookmarkStart w:id="113" w:name="_Toc251095723"/>
      <w:bookmarkEnd w:id="113"/>
      <w:bookmarkStart w:id="114" w:name="_Toc256980140"/>
      <w:bookmarkEnd w:id="114"/>
      <w:bookmarkStart w:id="115" w:name="_Toc251094203"/>
      <w:bookmarkEnd w:id="115"/>
      <w:r>
        <w:rPr>
          <w:rFonts w:hint="eastAsia" w:ascii="仿宋" w:hAnsi="仿宋" w:eastAsia="仿宋"/>
          <w:kern w:val="0"/>
          <w:sz w:val="24"/>
        </w:rPr>
        <w:t>第三节  招标工程量及招标标段的划分</w:t>
      </w:r>
    </w:p>
    <w:p>
      <w:pPr>
        <w:autoSpaceDE w:val="0"/>
        <w:autoSpaceDN w:val="0"/>
        <w:spacing w:line="440" w:lineRule="exact"/>
        <w:ind w:firstLine="480" w:firstLineChars="200"/>
        <w:rPr>
          <w:rFonts w:ascii="仿宋" w:hAnsi="仿宋" w:eastAsia="仿宋"/>
          <w:kern w:val="0"/>
          <w:sz w:val="24"/>
        </w:rPr>
      </w:pPr>
      <w:r>
        <w:rPr>
          <w:rFonts w:hint="eastAsia" w:ascii="仿宋" w:hAnsi="仿宋" w:eastAsia="仿宋"/>
          <w:kern w:val="0"/>
          <w:sz w:val="24"/>
        </w:rPr>
        <w:t>本次拟招壹个施工单位。2024年-2025年剥离工程量约3000万立方米，作业位置由甲方安排和调整。具体标段位置详见附图。</w:t>
      </w:r>
    </w:p>
    <w:p>
      <w:pPr>
        <w:autoSpaceDE w:val="0"/>
        <w:autoSpaceDN w:val="0"/>
        <w:spacing w:line="440" w:lineRule="exact"/>
        <w:jc w:val="center"/>
        <w:rPr>
          <w:rFonts w:ascii="仿宋" w:hAnsi="仿宋" w:eastAsia="仿宋"/>
          <w:kern w:val="0"/>
          <w:sz w:val="24"/>
        </w:rPr>
      </w:pPr>
      <w:bookmarkStart w:id="116" w:name="_Toc251095881"/>
      <w:bookmarkEnd w:id="116"/>
      <w:bookmarkStart w:id="117" w:name="_Toc251095778"/>
      <w:bookmarkEnd w:id="117"/>
      <w:bookmarkStart w:id="118" w:name="_Toc251095724"/>
      <w:bookmarkEnd w:id="118"/>
      <w:bookmarkStart w:id="119" w:name="_Toc256980141"/>
      <w:bookmarkEnd w:id="119"/>
      <w:bookmarkStart w:id="120" w:name="_Toc8889"/>
      <w:bookmarkEnd w:id="120"/>
      <w:bookmarkStart w:id="121" w:name="_Toc251095692"/>
      <w:bookmarkEnd w:id="121"/>
      <w:bookmarkStart w:id="122" w:name="_Toc251095248"/>
      <w:bookmarkEnd w:id="122"/>
      <w:bookmarkStart w:id="123" w:name="_Toc251094204"/>
      <w:bookmarkEnd w:id="123"/>
      <w:r>
        <w:rPr>
          <w:rFonts w:hint="eastAsia" w:ascii="仿宋" w:hAnsi="仿宋" w:eastAsia="仿宋"/>
          <w:kern w:val="0"/>
          <w:sz w:val="24"/>
        </w:rPr>
        <w:t>第四节  剥离工期</w:t>
      </w:r>
    </w:p>
    <w:p>
      <w:pPr>
        <w:autoSpaceDE w:val="0"/>
        <w:autoSpaceDN w:val="0"/>
        <w:spacing w:line="440" w:lineRule="exact"/>
        <w:ind w:firstLine="480" w:firstLineChars="200"/>
        <w:rPr>
          <w:rFonts w:ascii="仿宋" w:hAnsi="仿宋" w:eastAsia="仿宋"/>
          <w:kern w:val="0"/>
          <w:sz w:val="24"/>
          <w:highlight w:val="yellow"/>
        </w:rPr>
      </w:pPr>
      <w:r>
        <w:rPr>
          <w:rFonts w:hint="eastAsia" w:ascii="仿宋" w:hAnsi="仿宋" w:eastAsia="仿宋"/>
          <w:kern w:val="0"/>
          <w:sz w:val="24"/>
        </w:rPr>
        <w:t>本次剥离工程招标施工工期预计：</w:t>
      </w:r>
      <w:r>
        <w:rPr>
          <w:rFonts w:hint="eastAsia" w:ascii="仿宋" w:hAnsi="仿宋" w:eastAsia="仿宋"/>
          <w:kern w:val="0"/>
          <w:sz w:val="24"/>
          <w:highlight w:val="none"/>
          <w:u w:val="single"/>
        </w:rPr>
        <w:t>2024年</w:t>
      </w:r>
      <w:r>
        <w:rPr>
          <w:rFonts w:hint="eastAsia" w:ascii="仿宋" w:hAnsi="仿宋" w:eastAsia="仿宋"/>
          <w:kern w:val="0"/>
          <w:sz w:val="24"/>
          <w:highlight w:val="none"/>
          <w:u w:val="single"/>
          <w:lang w:val="en-US" w:eastAsia="zh-CN"/>
        </w:rPr>
        <w:t>5</w:t>
      </w:r>
      <w:r>
        <w:rPr>
          <w:rFonts w:hint="eastAsia" w:ascii="仿宋" w:hAnsi="仿宋" w:eastAsia="仿宋"/>
          <w:kern w:val="0"/>
          <w:sz w:val="24"/>
          <w:highlight w:val="none"/>
          <w:u w:val="single"/>
        </w:rPr>
        <w:t>月</w:t>
      </w:r>
      <w:r>
        <w:rPr>
          <w:rFonts w:hint="eastAsia" w:ascii="仿宋" w:hAnsi="仿宋" w:eastAsia="仿宋"/>
          <w:kern w:val="0"/>
          <w:sz w:val="24"/>
          <w:highlight w:val="none"/>
          <w:u w:val="single"/>
          <w:lang w:val="en-US" w:eastAsia="zh-CN"/>
        </w:rPr>
        <w:t>27</w:t>
      </w:r>
      <w:r>
        <w:rPr>
          <w:rFonts w:hint="eastAsia" w:ascii="仿宋" w:hAnsi="仿宋" w:eastAsia="仿宋"/>
          <w:kern w:val="0"/>
          <w:sz w:val="24"/>
          <w:highlight w:val="none"/>
          <w:u w:val="single"/>
        </w:rPr>
        <w:t>日</w:t>
      </w:r>
      <w:r>
        <w:rPr>
          <w:rFonts w:hint="eastAsia" w:ascii="仿宋" w:hAnsi="仿宋" w:eastAsia="仿宋"/>
          <w:kern w:val="0"/>
          <w:sz w:val="24"/>
          <w:highlight w:val="none"/>
        </w:rPr>
        <w:t>至</w:t>
      </w:r>
      <w:r>
        <w:rPr>
          <w:rFonts w:hint="eastAsia" w:ascii="仿宋" w:hAnsi="仿宋" w:eastAsia="仿宋"/>
          <w:kern w:val="0"/>
          <w:sz w:val="24"/>
          <w:highlight w:val="none"/>
          <w:u w:val="single"/>
        </w:rPr>
        <w:t xml:space="preserve"> </w:t>
      </w:r>
      <w:r>
        <w:rPr>
          <w:rFonts w:hint="eastAsia" w:ascii="仿宋" w:hAnsi="仿宋" w:eastAsia="仿宋"/>
          <w:kern w:val="0"/>
          <w:sz w:val="24"/>
          <w:highlight w:val="none"/>
          <w:u w:val="single"/>
          <w:lang w:val="en-US" w:eastAsia="zh-CN"/>
        </w:rPr>
        <w:t>2025年12月31日</w:t>
      </w:r>
      <w:r>
        <w:rPr>
          <w:rFonts w:hint="eastAsia" w:ascii="仿宋" w:hAnsi="仿宋" w:eastAsia="仿宋"/>
          <w:sz w:val="24"/>
        </w:rPr>
        <w:t>（具体以完成本招标项目剥离工程为准）。</w:t>
      </w:r>
    </w:p>
    <w:p>
      <w:pPr>
        <w:autoSpaceDE w:val="0"/>
        <w:autoSpaceDN w:val="0"/>
        <w:spacing w:line="440" w:lineRule="exact"/>
        <w:jc w:val="center"/>
        <w:rPr>
          <w:rFonts w:ascii="仿宋" w:hAnsi="仿宋" w:eastAsia="仿宋"/>
          <w:kern w:val="0"/>
          <w:sz w:val="24"/>
        </w:rPr>
      </w:pPr>
      <w:r>
        <w:rPr>
          <w:rFonts w:hint="eastAsia" w:ascii="仿宋" w:hAnsi="仿宋" w:eastAsia="仿宋"/>
          <w:kern w:val="0"/>
          <w:sz w:val="24"/>
        </w:rPr>
        <w:t>第五节  工程管理</w:t>
      </w:r>
    </w:p>
    <w:p>
      <w:pPr>
        <w:autoSpaceDE w:val="0"/>
        <w:autoSpaceDN w:val="0"/>
        <w:spacing w:line="440" w:lineRule="exact"/>
        <w:ind w:firstLine="480" w:firstLineChars="200"/>
        <w:rPr>
          <w:rFonts w:ascii="仿宋" w:hAnsi="仿宋" w:eastAsia="仿宋"/>
          <w:kern w:val="0"/>
          <w:sz w:val="24"/>
        </w:rPr>
      </w:pPr>
      <w:r>
        <w:rPr>
          <w:rFonts w:hint="eastAsia" w:ascii="仿宋" w:hAnsi="仿宋" w:eastAsia="仿宋"/>
          <w:kern w:val="0"/>
          <w:sz w:val="24"/>
        </w:rPr>
        <w:t>矿方每月下达采剥作业计划；施工单位根据采剥作业计划及施工图制定施工组织计划，并严格执行工程质量标准。</w:t>
      </w:r>
    </w:p>
    <w:p>
      <w:pPr>
        <w:autoSpaceDE w:val="0"/>
        <w:autoSpaceDN w:val="0"/>
        <w:spacing w:line="440" w:lineRule="exact"/>
        <w:jc w:val="center"/>
        <w:rPr>
          <w:rFonts w:ascii="仿宋" w:hAnsi="仿宋" w:eastAsia="仿宋"/>
          <w:kern w:val="0"/>
          <w:sz w:val="24"/>
        </w:rPr>
      </w:pPr>
      <w:r>
        <w:rPr>
          <w:rFonts w:hint="eastAsia" w:ascii="仿宋" w:hAnsi="仿宋" w:eastAsia="仿宋"/>
          <w:kern w:val="0"/>
          <w:sz w:val="24"/>
        </w:rPr>
        <w:t>第六节 施工组织及验收</w:t>
      </w:r>
    </w:p>
    <w:p>
      <w:pPr>
        <w:autoSpaceDE w:val="0"/>
        <w:autoSpaceDN w:val="0"/>
        <w:spacing w:line="440" w:lineRule="exact"/>
        <w:ind w:firstLine="480" w:firstLineChars="200"/>
        <w:rPr>
          <w:rFonts w:ascii="仿宋" w:hAnsi="仿宋" w:eastAsia="仿宋"/>
          <w:kern w:val="0"/>
          <w:sz w:val="24"/>
        </w:rPr>
      </w:pPr>
      <w:r>
        <w:rPr>
          <w:rFonts w:hint="eastAsia" w:ascii="仿宋" w:hAnsi="仿宋" w:eastAsia="仿宋"/>
          <w:kern w:val="0"/>
          <w:sz w:val="24"/>
        </w:rPr>
        <w:t>1、矿方根据整体剥离工程进度，按月下达月度剥离计划书及设计图。施工单位必须严格按计划确定的工程位置、工程量配备工作所需的人员、设备、燃料、备件等组织施工,工程质量满足矿方的要求。施工中若有任何特殊情况的修改，必须经矿方允许同意后才能进行。</w:t>
      </w:r>
    </w:p>
    <w:p>
      <w:pPr>
        <w:autoSpaceDE w:val="0"/>
        <w:autoSpaceDN w:val="0"/>
        <w:spacing w:line="440" w:lineRule="exact"/>
        <w:ind w:firstLine="480" w:firstLineChars="200"/>
        <w:rPr>
          <w:rFonts w:ascii="仿宋" w:hAnsi="仿宋" w:eastAsia="仿宋"/>
          <w:kern w:val="0"/>
          <w:sz w:val="24"/>
        </w:rPr>
      </w:pPr>
      <w:r>
        <w:rPr>
          <w:rFonts w:hint="eastAsia" w:ascii="仿宋" w:hAnsi="仿宋" w:eastAsia="仿宋"/>
          <w:kern w:val="0"/>
          <w:sz w:val="24"/>
        </w:rPr>
        <w:t>2、施工单位应充分考虑受大风、大雨、大雪等气象条件影响而不能正常施工的风险,保证矿月度生产计划的完成。</w:t>
      </w:r>
    </w:p>
    <w:p>
      <w:pPr>
        <w:autoSpaceDE w:val="0"/>
        <w:autoSpaceDN w:val="0"/>
        <w:spacing w:line="440" w:lineRule="exact"/>
        <w:ind w:firstLine="480" w:firstLineChars="200"/>
        <w:rPr>
          <w:rFonts w:ascii="仿宋" w:hAnsi="仿宋" w:eastAsia="仿宋"/>
          <w:kern w:val="0"/>
          <w:sz w:val="24"/>
        </w:rPr>
      </w:pPr>
      <w:r>
        <w:rPr>
          <w:rFonts w:hint="eastAsia" w:ascii="仿宋" w:hAnsi="仿宋" w:eastAsia="仿宋"/>
          <w:kern w:val="0"/>
          <w:sz w:val="24"/>
        </w:rPr>
        <w:t>3、生产技术处测量队于每月出具《月采剥工程量验收表》。</w:t>
      </w:r>
    </w:p>
    <w:p>
      <w:pPr>
        <w:autoSpaceDE w:val="0"/>
        <w:autoSpaceDN w:val="0"/>
        <w:spacing w:line="440" w:lineRule="exact"/>
        <w:ind w:firstLine="480" w:firstLineChars="200"/>
        <w:rPr>
          <w:rFonts w:ascii="仿宋" w:hAnsi="仿宋" w:eastAsia="仿宋"/>
          <w:kern w:val="0"/>
          <w:sz w:val="24"/>
        </w:rPr>
      </w:pPr>
      <w:r>
        <w:rPr>
          <w:rFonts w:hint="eastAsia" w:ascii="仿宋" w:hAnsi="仿宋" w:eastAsia="仿宋"/>
          <w:kern w:val="0"/>
          <w:sz w:val="24"/>
        </w:rPr>
        <w:t>4、验收由生产技术处测量队和矿方、施工单位现场负责人共同进行，结合现场和测量结果，对工程量进行验收，包括装运质量和执行计划情况，并出具《工程质量验收表》。</w:t>
      </w:r>
    </w:p>
    <w:p>
      <w:pPr>
        <w:autoSpaceDE w:val="0"/>
        <w:autoSpaceDN w:val="0"/>
        <w:spacing w:line="440" w:lineRule="exact"/>
        <w:ind w:firstLine="480" w:firstLineChars="200"/>
        <w:rPr>
          <w:rFonts w:ascii="仿宋" w:hAnsi="仿宋" w:eastAsia="仿宋"/>
          <w:kern w:val="0"/>
          <w:sz w:val="24"/>
        </w:rPr>
      </w:pPr>
      <w:r>
        <w:rPr>
          <w:rFonts w:hint="eastAsia" w:ascii="仿宋" w:hAnsi="仿宋" w:eastAsia="仿宋"/>
          <w:kern w:val="0"/>
          <w:sz w:val="24"/>
        </w:rPr>
        <w:t>5、工程质量验收合格后，对剥离工程进行测量验收，双方现场确认验收的规范性。</w:t>
      </w:r>
    </w:p>
    <w:p>
      <w:pPr>
        <w:autoSpaceDE w:val="0"/>
        <w:autoSpaceDN w:val="0"/>
        <w:spacing w:line="440" w:lineRule="exact"/>
        <w:ind w:firstLine="480" w:firstLineChars="200"/>
        <w:rPr>
          <w:rFonts w:ascii="仿宋" w:hAnsi="仿宋" w:eastAsia="仿宋"/>
          <w:kern w:val="0"/>
          <w:sz w:val="24"/>
        </w:rPr>
      </w:pPr>
      <w:r>
        <w:rPr>
          <w:rFonts w:hint="eastAsia" w:ascii="仿宋" w:hAnsi="仿宋" w:eastAsia="仿宋"/>
          <w:kern w:val="0"/>
          <w:sz w:val="24"/>
        </w:rPr>
        <w:t>6、 甲方根据验方测量图纸及设计施工图计算剥离量，超出设计施工图部分不予验收。</w:t>
      </w:r>
    </w:p>
    <w:p>
      <w:pPr>
        <w:autoSpaceDE w:val="0"/>
        <w:autoSpaceDN w:val="0"/>
        <w:spacing w:line="440" w:lineRule="exact"/>
        <w:jc w:val="center"/>
        <w:rPr>
          <w:rFonts w:ascii="仿宋" w:hAnsi="仿宋" w:eastAsia="仿宋"/>
          <w:kern w:val="0"/>
          <w:sz w:val="24"/>
        </w:rPr>
      </w:pPr>
      <w:bookmarkStart w:id="124" w:name="_Toc1620"/>
      <w:bookmarkEnd w:id="124"/>
      <w:bookmarkStart w:id="125" w:name="_Toc251095693"/>
      <w:bookmarkEnd w:id="125"/>
      <w:bookmarkStart w:id="126" w:name="_Toc251095725"/>
      <w:bookmarkEnd w:id="126"/>
      <w:bookmarkStart w:id="127" w:name="_Toc251095882"/>
      <w:bookmarkEnd w:id="127"/>
      <w:bookmarkStart w:id="128" w:name="_Toc251095249"/>
      <w:bookmarkEnd w:id="128"/>
      <w:bookmarkStart w:id="129" w:name="_Toc251095779"/>
      <w:bookmarkEnd w:id="129"/>
      <w:bookmarkStart w:id="130" w:name="_Toc251094205"/>
      <w:bookmarkEnd w:id="130"/>
      <w:bookmarkStart w:id="131" w:name="_Toc256980142"/>
      <w:bookmarkEnd w:id="131"/>
      <w:r>
        <w:rPr>
          <w:rFonts w:hint="eastAsia" w:ascii="仿宋" w:hAnsi="仿宋" w:eastAsia="仿宋"/>
          <w:kern w:val="0"/>
          <w:sz w:val="24"/>
        </w:rPr>
        <w:t>第七节 交工标准</w:t>
      </w:r>
    </w:p>
    <w:p>
      <w:pPr>
        <w:autoSpaceDE w:val="0"/>
        <w:autoSpaceDN w:val="0"/>
        <w:spacing w:line="440" w:lineRule="exact"/>
        <w:ind w:firstLine="480" w:firstLineChars="200"/>
        <w:rPr>
          <w:rFonts w:hint="eastAsia" w:ascii="仿宋" w:hAnsi="仿宋" w:eastAsia="仿宋"/>
          <w:kern w:val="0"/>
          <w:sz w:val="24"/>
        </w:rPr>
      </w:pPr>
      <w:r>
        <w:rPr>
          <w:rFonts w:hint="eastAsia" w:ascii="仿宋" w:hAnsi="仿宋" w:eastAsia="仿宋"/>
          <w:kern w:val="0"/>
          <w:sz w:val="24"/>
        </w:rPr>
        <w:t>工程质量必须全部达到国家现行的《露天煤矿工程施工及验收规范》(GB50175-2014)工程质量验收标准及《煤矿安全规程》、《安全生产法》、《作业规程》、《神东天隆集团武家塔露天煤矿工程质量标准化管理办法》等相关要求。</w:t>
      </w:r>
    </w:p>
    <w:p>
      <w:pPr>
        <w:autoSpaceDE w:val="0"/>
        <w:autoSpaceDN w:val="0"/>
        <w:spacing w:line="440" w:lineRule="exact"/>
        <w:ind w:firstLine="480" w:firstLineChars="200"/>
        <w:rPr>
          <w:rFonts w:ascii="仿宋" w:hAnsi="仿宋" w:eastAsia="仿宋"/>
          <w:kern w:val="0"/>
          <w:sz w:val="24"/>
        </w:rPr>
      </w:pPr>
    </w:p>
    <w:p>
      <w:pPr>
        <w:autoSpaceDE w:val="0"/>
        <w:autoSpaceDN w:val="0"/>
        <w:spacing w:line="440" w:lineRule="exact"/>
        <w:ind w:firstLine="480" w:firstLineChars="200"/>
        <w:rPr>
          <w:rFonts w:hint="eastAsia" w:ascii="仿宋" w:hAnsi="仿宋" w:eastAsia="仿宋"/>
          <w:kern w:val="0"/>
          <w:sz w:val="24"/>
        </w:rPr>
      </w:pPr>
    </w:p>
    <w:p>
      <w:pPr>
        <w:pStyle w:val="2"/>
        <w:spacing w:line="240" w:lineRule="auto"/>
        <w:ind w:firstLine="602"/>
        <w:jc w:val="center"/>
        <w:rPr>
          <w:rFonts w:ascii="宋体" w:hAnsi="宋体" w:eastAsia="宋体"/>
          <w:sz w:val="30"/>
          <w:szCs w:val="30"/>
        </w:rPr>
      </w:pPr>
      <w:bookmarkStart w:id="132" w:name="_Toc251095726"/>
      <w:bookmarkEnd w:id="132"/>
      <w:bookmarkStart w:id="133" w:name="_Toc256980143"/>
      <w:bookmarkEnd w:id="133"/>
      <w:bookmarkStart w:id="134" w:name="_Toc27790"/>
      <w:bookmarkEnd w:id="134"/>
      <w:bookmarkStart w:id="135" w:name="_Toc251095250"/>
      <w:bookmarkEnd w:id="135"/>
      <w:bookmarkStart w:id="136" w:name="_Toc251095883"/>
      <w:bookmarkEnd w:id="136"/>
      <w:bookmarkStart w:id="137" w:name="_Toc251094206"/>
      <w:bookmarkEnd w:id="137"/>
      <w:bookmarkStart w:id="138" w:name="_Toc251095780"/>
      <w:bookmarkEnd w:id="138"/>
      <w:bookmarkStart w:id="139" w:name="_Toc251095694"/>
      <w:bookmarkEnd w:id="139"/>
      <w:bookmarkStart w:id="140" w:name="_Toc160008330"/>
      <w:r>
        <w:rPr>
          <w:rFonts w:hint="eastAsia" w:ascii="宋体" w:hAnsi="宋体" w:eastAsia="宋体"/>
          <w:sz w:val="30"/>
          <w:szCs w:val="30"/>
        </w:rPr>
        <w:t>第四部分  开采工艺与开采参数</w:t>
      </w:r>
      <w:bookmarkEnd w:id="140"/>
    </w:p>
    <w:p>
      <w:pPr>
        <w:autoSpaceDE w:val="0"/>
        <w:autoSpaceDN w:val="0"/>
        <w:spacing w:line="440" w:lineRule="exact"/>
        <w:jc w:val="center"/>
        <w:rPr>
          <w:rFonts w:ascii="仿宋" w:hAnsi="仿宋" w:eastAsia="仿宋"/>
          <w:kern w:val="0"/>
          <w:sz w:val="24"/>
        </w:rPr>
      </w:pPr>
      <w:bookmarkStart w:id="141" w:name="_Toc251094207"/>
      <w:bookmarkEnd w:id="141"/>
      <w:bookmarkStart w:id="142" w:name="_Toc256980144"/>
      <w:bookmarkEnd w:id="142"/>
      <w:bookmarkStart w:id="143" w:name="_Toc251095884"/>
      <w:bookmarkEnd w:id="143"/>
      <w:bookmarkStart w:id="144" w:name="_Toc16629"/>
      <w:bookmarkEnd w:id="144"/>
      <w:bookmarkStart w:id="145" w:name="_Toc251095695"/>
      <w:bookmarkEnd w:id="145"/>
      <w:bookmarkStart w:id="146" w:name="_Toc251095727"/>
      <w:bookmarkEnd w:id="146"/>
      <w:bookmarkStart w:id="147" w:name="_Toc251095781"/>
      <w:bookmarkEnd w:id="147"/>
      <w:bookmarkStart w:id="148" w:name="_Toc251095251"/>
      <w:bookmarkEnd w:id="148"/>
      <w:r>
        <w:rPr>
          <w:rFonts w:hint="eastAsia" w:ascii="仿宋" w:hAnsi="仿宋" w:eastAsia="仿宋"/>
          <w:kern w:val="0"/>
          <w:sz w:val="24"/>
        </w:rPr>
        <w:t>第一节 开采现状概述</w:t>
      </w:r>
    </w:p>
    <w:p>
      <w:pPr>
        <w:ind w:firstLine="480" w:firstLineChars="200"/>
        <w:rPr>
          <w:rFonts w:ascii="仿宋" w:hAnsi="仿宋" w:eastAsia="仿宋"/>
          <w:sz w:val="24"/>
        </w:rPr>
      </w:pPr>
      <w:bookmarkStart w:id="149" w:name="_Toc251095783"/>
      <w:bookmarkStart w:id="150" w:name="_Toc16367"/>
      <w:bookmarkStart w:id="151" w:name="_Toc251095253"/>
      <w:bookmarkStart w:id="152" w:name="_Toc251094209"/>
      <w:bookmarkStart w:id="153" w:name="_Toc256980146"/>
      <w:bookmarkStart w:id="154" w:name="_Toc251095886"/>
      <w:bookmarkStart w:id="155" w:name="_Toc251095697"/>
      <w:bookmarkStart w:id="156" w:name="_Toc251095729"/>
      <w:r>
        <w:rPr>
          <w:rFonts w:hint="eastAsia" w:ascii="仿宋" w:hAnsi="仿宋" w:eastAsia="仿宋"/>
          <w:sz w:val="24"/>
        </w:rPr>
        <w:t>一、武家塔露天煤矿采坑现状：</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现有剥离台阶12个，台阶高度10-16米，平盘宽度35-40米。</w:t>
      </w:r>
    </w:p>
    <w:p>
      <w:pPr>
        <w:ind w:firstLine="480" w:firstLineChars="200"/>
        <w:rPr>
          <w:rFonts w:ascii="仿宋" w:hAnsi="仿宋" w:eastAsia="仿宋"/>
          <w:sz w:val="24"/>
        </w:rPr>
      </w:pPr>
      <w:r>
        <w:rPr>
          <w:rFonts w:hint="eastAsia" w:ascii="仿宋" w:hAnsi="仿宋" w:eastAsia="仿宋"/>
          <w:sz w:val="24"/>
        </w:rPr>
        <w:t>二、加权平均运距、爬高：</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sz w:val="24"/>
        </w:rPr>
        <w:t>招标方目前测算成本时全年加权平均运距1</w:t>
      </w:r>
      <w:r>
        <w:rPr>
          <w:rFonts w:ascii="仿宋" w:hAnsi="仿宋" w:eastAsia="仿宋"/>
          <w:sz w:val="24"/>
        </w:rPr>
        <w:t>6</w:t>
      </w:r>
      <w:r>
        <w:rPr>
          <w:rFonts w:hint="eastAsia" w:ascii="仿宋" w:hAnsi="仿宋" w:eastAsia="仿宋"/>
          <w:sz w:val="24"/>
        </w:rPr>
        <w:t>00m、加权平均爬高</w:t>
      </w:r>
      <w:r>
        <w:rPr>
          <w:rFonts w:ascii="仿宋" w:hAnsi="仿宋" w:eastAsia="仿宋"/>
          <w:sz w:val="24"/>
        </w:rPr>
        <w:t>28</w:t>
      </w:r>
      <w:r>
        <w:rPr>
          <w:rFonts w:hint="eastAsia" w:ascii="仿宋" w:hAnsi="仿宋" w:eastAsia="仿宋"/>
          <w:sz w:val="24"/>
        </w:rPr>
        <w:t>m，沙岩比0:100</w:t>
      </w:r>
      <w:r>
        <w:rPr>
          <w:rFonts w:hint="eastAsia" w:ascii="仿宋" w:hAnsi="仿宋" w:eastAsia="仿宋"/>
          <w:kern w:val="0"/>
          <w:sz w:val="24"/>
        </w:rPr>
        <w:t>。</w:t>
      </w:r>
    </w:p>
    <w:bookmarkEnd w:id="149"/>
    <w:bookmarkEnd w:id="150"/>
    <w:bookmarkEnd w:id="151"/>
    <w:bookmarkEnd w:id="152"/>
    <w:bookmarkEnd w:id="153"/>
    <w:bookmarkEnd w:id="154"/>
    <w:bookmarkEnd w:id="155"/>
    <w:bookmarkEnd w:id="156"/>
    <w:p>
      <w:pPr>
        <w:autoSpaceDE w:val="0"/>
        <w:autoSpaceDN w:val="0"/>
        <w:spacing w:line="440" w:lineRule="exact"/>
        <w:jc w:val="center"/>
        <w:rPr>
          <w:rFonts w:ascii="仿宋" w:hAnsi="仿宋" w:eastAsia="仿宋"/>
          <w:kern w:val="0"/>
          <w:sz w:val="24"/>
        </w:rPr>
      </w:pPr>
      <w:r>
        <w:rPr>
          <w:rFonts w:hint="eastAsia" w:ascii="仿宋" w:hAnsi="仿宋" w:eastAsia="仿宋"/>
          <w:kern w:val="0"/>
          <w:sz w:val="24"/>
        </w:rPr>
        <w:t>第二节 开采参数</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剥离系统的台阶划分采用水平分层。根据设计选用的单斗挖掘机的最大挖掘高度，确定台阶高度如下：</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（1）土台阶10～12m；</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（2）岩石台阶12～16m。</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2、采掘带宽度</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为便于单斗挖掘机及卡车在工作面作业，单斗挖掘机台阶采掘带宽度取20m。</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3、最小工作平盘</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（1）土台阶工作平盘</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表土台阶最小工作平盘由采掘带、运输道路及安全宽度等要素组成。</w:t>
      </w:r>
    </w:p>
    <w:p>
      <w:pPr>
        <w:rPr>
          <w:rFonts w:ascii="仿宋" w:hAnsi="仿宋" w:eastAsia="仿宋"/>
          <w:sz w:val="24"/>
        </w:rPr>
      </w:pPr>
      <w:r>
        <w:rPr>
          <w:rFonts w:hint="eastAsia" w:ascii="仿宋" w:hAnsi="仿宋" w:eastAsia="仿宋"/>
          <w:sz w:val="24"/>
        </w:rPr>
        <w:t>（2）岩石台阶工作平盘</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岩石台阶最小工作平盘由采掘带、爆堆伸出宽度、运输道路及安全宽度等要素组成。</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最小平盘宽度取35米。</w:t>
      </w:r>
    </w:p>
    <w:p>
      <w:pPr>
        <w:autoSpaceDE w:val="0"/>
        <w:autoSpaceDN w:val="0"/>
        <w:spacing w:line="440" w:lineRule="exact"/>
        <w:jc w:val="center"/>
        <w:rPr>
          <w:rFonts w:ascii="仿宋" w:hAnsi="仿宋" w:eastAsia="仿宋"/>
          <w:kern w:val="0"/>
          <w:sz w:val="24"/>
        </w:rPr>
      </w:pPr>
      <w:bookmarkStart w:id="157" w:name="_Toc23075"/>
      <w:bookmarkEnd w:id="157"/>
      <w:bookmarkStart w:id="158" w:name="_Toc149030065"/>
      <w:bookmarkEnd w:id="158"/>
      <w:bookmarkStart w:id="159" w:name="_Toc251095887"/>
      <w:bookmarkEnd w:id="159"/>
      <w:bookmarkStart w:id="160" w:name="_Toc251095730"/>
      <w:bookmarkEnd w:id="160"/>
      <w:bookmarkStart w:id="161" w:name="_Toc150051149"/>
      <w:bookmarkEnd w:id="161"/>
      <w:bookmarkStart w:id="162" w:name="_Toc251095254"/>
      <w:bookmarkEnd w:id="162"/>
      <w:bookmarkStart w:id="163" w:name="_Toc251095698"/>
      <w:bookmarkEnd w:id="163"/>
      <w:bookmarkStart w:id="164" w:name="_Toc251095784"/>
      <w:bookmarkEnd w:id="164"/>
      <w:bookmarkStart w:id="165" w:name="_Toc256980147"/>
      <w:bookmarkEnd w:id="165"/>
      <w:bookmarkStart w:id="166" w:name="_Toc251094210"/>
      <w:bookmarkEnd w:id="166"/>
      <w:r>
        <w:rPr>
          <w:rFonts w:hint="eastAsia" w:ascii="仿宋" w:hAnsi="仿宋" w:eastAsia="仿宋"/>
          <w:kern w:val="0"/>
          <w:sz w:val="24"/>
        </w:rPr>
        <w:t>第三节 开采方法</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武家塔露天煤矿采用间断生产工艺，液压挖掘机采装-汽车运输即单斗—汽车工艺，推土机或装载机排土，半固定坑线配合移动坑线的生产运输系统。</w:t>
      </w:r>
    </w:p>
    <w:p>
      <w:pPr>
        <w:autoSpaceDE w:val="0"/>
        <w:autoSpaceDN w:val="0"/>
        <w:spacing w:line="440" w:lineRule="exact"/>
        <w:jc w:val="center"/>
        <w:rPr>
          <w:rFonts w:hint="eastAsia" w:ascii="仿宋" w:hAnsi="仿宋" w:eastAsia="仿宋"/>
          <w:kern w:val="0"/>
          <w:sz w:val="24"/>
        </w:rPr>
      </w:pPr>
      <w:bookmarkStart w:id="167" w:name="_Toc251095699"/>
      <w:bookmarkEnd w:id="167"/>
      <w:bookmarkStart w:id="168" w:name="_Toc251095785"/>
      <w:bookmarkEnd w:id="168"/>
      <w:bookmarkStart w:id="169" w:name="_Toc25359"/>
      <w:bookmarkEnd w:id="169"/>
      <w:bookmarkStart w:id="170" w:name="_Toc251094211"/>
      <w:bookmarkEnd w:id="170"/>
      <w:bookmarkStart w:id="171" w:name="_Toc251095255"/>
      <w:bookmarkEnd w:id="171"/>
      <w:bookmarkStart w:id="172" w:name="_Toc251095731"/>
      <w:bookmarkEnd w:id="172"/>
      <w:bookmarkStart w:id="173" w:name="_Toc251095888"/>
      <w:bookmarkEnd w:id="173"/>
      <w:bookmarkStart w:id="174" w:name="_Toc256980148"/>
      <w:bookmarkEnd w:id="174"/>
    </w:p>
    <w:p>
      <w:pPr>
        <w:autoSpaceDE w:val="0"/>
        <w:autoSpaceDN w:val="0"/>
        <w:spacing w:line="440" w:lineRule="exact"/>
        <w:jc w:val="center"/>
        <w:rPr>
          <w:rFonts w:hint="eastAsia" w:ascii="仿宋" w:hAnsi="仿宋" w:eastAsia="仿宋"/>
          <w:kern w:val="0"/>
          <w:sz w:val="24"/>
        </w:rPr>
      </w:pPr>
    </w:p>
    <w:p>
      <w:pPr>
        <w:autoSpaceDE w:val="0"/>
        <w:autoSpaceDN w:val="0"/>
        <w:spacing w:line="440" w:lineRule="exact"/>
        <w:jc w:val="center"/>
        <w:rPr>
          <w:rFonts w:ascii="仿宋" w:hAnsi="仿宋" w:eastAsia="仿宋"/>
          <w:kern w:val="0"/>
          <w:sz w:val="24"/>
        </w:rPr>
      </w:pPr>
      <w:r>
        <w:rPr>
          <w:rFonts w:hint="eastAsia" w:ascii="仿宋" w:hAnsi="仿宋" w:eastAsia="仿宋"/>
          <w:kern w:val="0"/>
          <w:sz w:val="24"/>
        </w:rPr>
        <w:t>第四节 穿孔爆破</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1、穿孔设备型号、数量及主要参数：</w:t>
      </w:r>
    </w:p>
    <w:tbl>
      <w:tblPr>
        <w:tblStyle w:val="3"/>
        <w:tblW w:w="90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3"/>
        <w:gridCol w:w="1683"/>
        <w:gridCol w:w="1799"/>
        <w:gridCol w:w="1441"/>
        <w:gridCol w:w="1387"/>
        <w:gridCol w:w="1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5" w:hRule="atLeast"/>
          <w:jc w:val="center"/>
        </w:trPr>
        <w:tc>
          <w:tcPr>
            <w:tcW w:w="913" w:type="dxa"/>
            <w:noWrap w:val="0"/>
            <w:vAlign w:val="top"/>
          </w:tcPr>
          <w:p>
            <w:pPr>
              <w:autoSpaceDE w:val="0"/>
              <w:autoSpaceDN w:val="0"/>
              <w:spacing w:after="120" w:line="440" w:lineRule="exact"/>
              <w:rPr>
                <w:rFonts w:ascii="仿宋" w:hAnsi="仿宋" w:eastAsia="仿宋"/>
                <w:kern w:val="0"/>
                <w:sz w:val="24"/>
              </w:rPr>
            </w:pPr>
            <w:r>
              <w:rPr>
                <w:rFonts w:hint="eastAsia" w:ascii="仿宋" w:hAnsi="仿宋" w:eastAsia="仿宋"/>
                <w:kern w:val="0"/>
                <w:sz w:val="24"/>
              </w:rPr>
              <w:t>序号</w:t>
            </w:r>
          </w:p>
        </w:tc>
        <w:tc>
          <w:tcPr>
            <w:tcW w:w="1683"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设备名称</w:t>
            </w:r>
          </w:p>
        </w:tc>
        <w:tc>
          <w:tcPr>
            <w:tcW w:w="1799"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规  格</w:t>
            </w:r>
          </w:p>
        </w:tc>
        <w:tc>
          <w:tcPr>
            <w:tcW w:w="1441"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型号</w:t>
            </w:r>
          </w:p>
        </w:tc>
        <w:tc>
          <w:tcPr>
            <w:tcW w:w="1387" w:type="dxa"/>
            <w:noWrap w:val="0"/>
            <w:vAlign w:val="top"/>
          </w:tcPr>
          <w:p>
            <w:pPr>
              <w:autoSpaceDE w:val="0"/>
              <w:autoSpaceDN w:val="0"/>
              <w:spacing w:after="120" w:line="440" w:lineRule="exact"/>
              <w:rPr>
                <w:rFonts w:ascii="仿宋" w:hAnsi="仿宋" w:eastAsia="仿宋"/>
                <w:kern w:val="0"/>
                <w:sz w:val="24"/>
              </w:rPr>
            </w:pPr>
            <w:r>
              <w:rPr>
                <w:rFonts w:hint="eastAsia" w:ascii="仿宋" w:hAnsi="仿宋" w:eastAsia="仿宋"/>
                <w:kern w:val="0"/>
                <w:sz w:val="24"/>
              </w:rPr>
              <w:t>数量(台)</w:t>
            </w:r>
          </w:p>
        </w:tc>
        <w:tc>
          <w:tcPr>
            <w:tcW w:w="1854"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备 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5" w:hRule="atLeast"/>
          <w:jc w:val="center"/>
        </w:trPr>
        <w:tc>
          <w:tcPr>
            <w:tcW w:w="913"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1</w:t>
            </w:r>
          </w:p>
        </w:tc>
        <w:tc>
          <w:tcPr>
            <w:tcW w:w="1683"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潜孔钻机</w:t>
            </w:r>
          </w:p>
        </w:tc>
        <w:tc>
          <w:tcPr>
            <w:tcW w:w="1799"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孔径170mm</w:t>
            </w:r>
          </w:p>
        </w:tc>
        <w:tc>
          <w:tcPr>
            <w:tcW w:w="1441" w:type="dxa"/>
            <w:noWrap w:val="0"/>
            <w:vAlign w:val="top"/>
          </w:tcPr>
          <w:p>
            <w:pPr>
              <w:autoSpaceDE w:val="0"/>
              <w:autoSpaceDN w:val="0"/>
              <w:spacing w:after="120" w:line="440" w:lineRule="exact"/>
              <w:rPr>
                <w:rFonts w:ascii="仿宋" w:hAnsi="仿宋" w:eastAsia="仿宋"/>
                <w:kern w:val="0"/>
                <w:sz w:val="24"/>
              </w:rPr>
            </w:pPr>
            <w:r>
              <w:rPr>
                <w:rFonts w:hint="eastAsia" w:ascii="仿宋" w:hAnsi="仿宋" w:eastAsia="仿宋"/>
                <w:kern w:val="0"/>
                <w:sz w:val="24"/>
              </w:rPr>
              <w:t>KQG-150Y</w:t>
            </w:r>
          </w:p>
        </w:tc>
        <w:tc>
          <w:tcPr>
            <w:tcW w:w="1387"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12</w:t>
            </w:r>
          </w:p>
        </w:tc>
        <w:tc>
          <w:tcPr>
            <w:tcW w:w="1854"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岩钻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913"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2</w:t>
            </w:r>
          </w:p>
        </w:tc>
        <w:tc>
          <w:tcPr>
            <w:tcW w:w="1683"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潜孔钻机</w:t>
            </w:r>
          </w:p>
        </w:tc>
        <w:tc>
          <w:tcPr>
            <w:tcW w:w="1799"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孔径170mm</w:t>
            </w:r>
          </w:p>
        </w:tc>
        <w:tc>
          <w:tcPr>
            <w:tcW w:w="1441" w:type="dxa"/>
            <w:noWrap w:val="0"/>
            <w:vAlign w:val="top"/>
          </w:tcPr>
          <w:p>
            <w:pPr>
              <w:autoSpaceDE w:val="0"/>
              <w:autoSpaceDN w:val="0"/>
              <w:spacing w:after="120" w:line="440" w:lineRule="exact"/>
              <w:rPr>
                <w:rFonts w:ascii="仿宋" w:hAnsi="仿宋" w:eastAsia="仿宋"/>
                <w:kern w:val="0"/>
                <w:sz w:val="24"/>
              </w:rPr>
            </w:pPr>
            <w:r>
              <w:rPr>
                <w:rFonts w:hint="eastAsia" w:ascii="仿宋" w:hAnsi="仿宋" w:eastAsia="仿宋"/>
                <w:kern w:val="0"/>
                <w:sz w:val="24"/>
              </w:rPr>
              <w:t>KQG-150Y</w:t>
            </w:r>
          </w:p>
        </w:tc>
        <w:tc>
          <w:tcPr>
            <w:tcW w:w="1387"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2</w:t>
            </w:r>
          </w:p>
        </w:tc>
        <w:tc>
          <w:tcPr>
            <w:tcW w:w="1854"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煤钻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913"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3</w:t>
            </w:r>
          </w:p>
        </w:tc>
        <w:tc>
          <w:tcPr>
            <w:tcW w:w="1683" w:type="dxa"/>
            <w:noWrap w:val="0"/>
            <w:vAlign w:val="top"/>
          </w:tcPr>
          <w:p>
            <w:pPr>
              <w:autoSpaceDE w:val="0"/>
              <w:autoSpaceDN w:val="0"/>
              <w:spacing w:after="120" w:line="440" w:lineRule="exact"/>
              <w:jc w:val="center"/>
              <w:rPr>
                <w:rFonts w:ascii="仿宋" w:hAnsi="仿宋" w:eastAsia="仿宋"/>
                <w:kern w:val="0"/>
                <w:sz w:val="24"/>
              </w:rPr>
            </w:pPr>
            <w:r>
              <w:rPr>
                <w:rFonts w:hint="eastAsia" w:ascii="仿宋" w:hAnsi="仿宋" w:eastAsia="仿宋"/>
                <w:kern w:val="0"/>
                <w:sz w:val="24"/>
              </w:rPr>
              <w:t>柴动一体钻机</w:t>
            </w:r>
          </w:p>
        </w:tc>
        <w:tc>
          <w:tcPr>
            <w:tcW w:w="1799" w:type="dxa"/>
            <w:noWrap w:val="0"/>
            <w:vAlign w:val="top"/>
          </w:tcPr>
          <w:p>
            <w:pPr>
              <w:autoSpaceDE w:val="0"/>
              <w:autoSpaceDN w:val="0"/>
              <w:spacing w:after="120" w:line="440" w:lineRule="exact"/>
              <w:jc w:val="left"/>
              <w:rPr>
                <w:rFonts w:ascii="仿宋" w:hAnsi="仿宋" w:eastAsia="仿宋"/>
                <w:kern w:val="0"/>
                <w:sz w:val="24"/>
              </w:rPr>
            </w:pPr>
            <w:r>
              <w:rPr>
                <w:rFonts w:hint="eastAsia" w:ascii="仿宋" w:hAnsi="仿宋" w:eastAsia="仿宋"/>
                <w:kern w:val="0"/>
                <w:sz w:val="24"/>
              </w:rPr>
              <w:t>孔径170mm/150㎜</w:t>
            </w:r>
          </w:p>
        </w:tc>
        <w:tc>
          <w:tcPr>
            <w:tcW w:w="1441" w:type="dxa"/>
            <w:noWrap w:val="0"/>
            <w:vAlign w:val="top"/>
          </w:tcPr>
          <w:p>
            <w:pPr>
              <w:autoSpaceDE w:val="0"/>
              <w:autoSpaceDN w:val="0"/>
              <w:spacing w:after="120" w:line="440" w:lineRule="exact"/>
              <w:rPr>
                <w:rFonts w:ascii="仿宋" w:hAnsi="仿宋" w:eastAsia="仿宋"/>
                <w:kern w:val="0"/>
                <w:sz w:val="24"/>
              </w:rPr>
            </w:pPr>
            <w:r>
              <w:rPr>
                <w:rFonts w:hint="eastAsia" w:ascii="仿宋" w:hAnsi="仿宋" w:eastAsia="仿宋"/>
                <w:kern w:val="0"/>
                <w:sz w:val="24"/>
              </w:rPr>
              <w:t>ZGYX460</w:t>
            </w:r>
          </w:p>
        </w:tc>
        <w:tc>
          <w:tcPr>
            <w:tcW w:w="1387"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6</w:t>
            </w:r>
          </w:p>
        </w:tc>
        <w:tc>
          <w:tcPr>
            <w:tcW w:w="1854"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岩钻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jc w:val="center"/>
        </w:trPr>
        <w:tc>
          <w:tcPr>
            <w:tcW w:w="913"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4</w:t>
            </w:r>
          </w:p>
        </w:tc>
        <w:tc>
          <w:tcPr>
            <w:tcW w:w="1683" w:type="dxa"/>
            <w:noWrap w:val="0"/>
            <w:vAlign w:val="top"/>
          </w:tcPr>
          <w:p>
            <w:pPr>
              <w:autoSpaceDE w:val="0"/>
              <w:autoSpaceDN w:val="0"/>
              <w:spacing w:after="120" w:line="440" w:lineRule="exact"/>
              <w:jc w:val="center"/>
              <w:rPr>
                <w:rFonts w:ascii="仿宋" w:hAnsi="仿宋" w:eastAsia="仿宋"/>
                <w:kern w:val="0"/>
                <w:sz w:val="24"/>
              </w:rPr>
            </w:pPr>
            <w:r>
              <w:rPr>
                <w:rFonts w:hint="eastAsia" w:ascii="仿宋" w:hAnsi="仿宋" w:eastAsia="仿宋"/>
                <w:kern w:val="0"/>
                <w:sz w:val="24"/>
              </w:rPr>
              <w:t>柴动一体钻机</w:t>
            </w:r>
          </w:p>
        </w:tc>
        <w:tc>
          <w:tcPr>
            <w:tcW w:w="1799" w:type="dxa"/>
            <w:noWrap w:val="0"/>
            <w:vAlign w:val="top"/>
          </w:tcPr>
          <w:p>
            <w:pPr>
              <w:autoSpaceDE w:val="0"/>
              <w:autoSpaceDN w:val="0"/>
              <w:spacing w:after="120" w:line="440" w:lineRule="exact"/>
              <w:jc w:val="left"/>
              <w:rPr>
                <w:rFonts w:ascii="仿宋" w:hAnsi="仿宋" w:eastAsia="仿宋"/>
                <w:kern w:val="0"/>
                <w:sz w:val="24"/>
              </w:rPr>
            </w:pPr>
            <w:r>
              <w:rPr>
                <w:rFonts w:hint="eastAsia" w:ascii="仿宋" w:hAnsi="仿宋" w:eastAsia="仿宋"/>
                <w:kern w:val="0"/>
                <w:sz w:val="24"/>
              </w:rPr>
              <w:t>孔径90mm/110㎜</w:t>
            </w:r>
          </w:p>
        </w:tc>
        <w:tc>
          <w:tcPr>
            <w:tcW w:w="1441" w:type="dxa"/>
            <w:noWrap w:val="0"/>
            <w:vAlign w:val="top"/>
          </w:tcPr>
          <w:p>
            <w:pPr>
              <w:autoSpaceDE w:val="0"/>
              <w:autoSpaceDN w:val="0"/>
              <w:spacing w:after="120" w:line="440" w:lineRule="exact"/>
              <w:rPr>
                <w:rFonts w:ascii="仿宋" w:hAnsi="仿宋" w:eastAsia="仿宋"/>
                <w:kern w:val="0"/>
                <w:sz w:val="24"/>
              </w:rPr>
            </w:pPr>
            <w:r>
              <w:rPr>
                <w:rFonts w:hint="eastAsia" w:ascii="仿宋" w:hAnsi="仿宋" w:eastAsia="仿宋"/>
                <w:kern w:val="0"/>
                <w:sz w:val="24"/>
              </w:rPr>
              <w:t>TAIYE—X55</w:t>
            </w:r>
          </w:p>
        </w:tc>
        <w:tc>
          <w:tcPr>
            <w:tcW w:w="1387"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1</w:t>
            </w:r>
          </w:p>
        </w:tc>
        <w:tc>
          <w:tcPr>
            <w:tcW w:w="1854"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岩钻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jc w:val="center"/>
        </w:trPr>
        <w:tc>
          <w:tcPr>
            <w:tcW w:w="913" w:type="dxa"/>
            <w:noWrap w:val="0"/>
            <w:vAlign w:val="top"/>
          </w:tcPr>
          <w:p>
            <w:pPr>
              <w:autoSpaceDE w:val="0"/>
              <w:autoSpaceDN w:val="0"/>
              <w:spacing w:after="120" w:line="440" w:lineRule="exact"/>
              <w:rPr>
                <w:rFonts w:ascii="仿宋" w:hAnsi="仿宋" w:eastAsia="仿宋"/>
                <w:kern w:val="0"/>
                <w:sz w:val="24"/>
              </w:rPr>
            </w:pPr>
            <w:r>
              <w:rPr>
                <w:rFonts w:hint="eastAsia" w:ascii="仿宋" w:hAnsi="仿宋" w:eastAsia="仿宋"/>
                <w:kern w:val="0"/>
                <w:sz w:val="24"/>
              </w:rPr>
              <w:t>合计</w:t>
            </w:r>
          </w:p>
        </w:tc>
        <w:tc>
          <w:tcPr>
            <w:tcW w:w="1683" w:type="dxa"/>
            <w:noWrap w:val="0"/>
            <w:vAlign w:val="top"/>
          </w:tcPr>
          <w:p>
            <w:pPr>
              <w:autoSpaceDE w:val="0"/>
              <w:autoSpaceDN w:val="0"/>
              <w:spacing w:after="120" w:line="440" w:lineRule="exact"/>
              <w:ind w:firstLine="480" w:firstLineChars="200"/>
              <w:rPr>
                <w:rFonts w:ascii="仿宋" w:hAnsi="仿宋" w:eastAsia="仿宋"/>
                <w:kern w:val="0"/>
                <w:sz w:val="24"/>
              </w:rPr>
            </w:pPr>
          </w:p>
        </w:tc>
        <w:tc>
          <w:tcPr>
            <w:tcW w:w="1799" w:type="dxa"/>
            <w:noWrap w:val="0"/>
            <w:vAlign w:val="top"/>
          </w:tcPr>
          <w:p>
            <w:pPr>
              <w:autoSpaceDE w:val="0"/>
              <w:autoSpaceDN w:val="0"/>
              <w:spacing w:after="120" w:line="440" w:lineRule="exact"/>
              <w:ind w:firstLine="480" w:firstLineChars="200"/>
              <w:rPr>
                <w:rFonts w:ascii="仿宋" w:hAnsi="仿宋" w:eastAsia="仿宋"/>
                <w:kern w:val="0"/>
                <w:sz w:val="24"/>
              </w:rPr>
            </w:pPr>
          </w:p>
        </w:tc>
        <w:tc>
          <w:tcPr>
            <w:tcW w:w="1441"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 xml:space="preserve">  </w:t>
            </w:r>
          </w:p>
        </w:tc>
        <w:tc>
          <w:tcPr>
            <w:tcW w:w="1387" w:type="dxa"/>
            <w:noWrap w:val="0"/>
            <w:vAlign w:val="top"/>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21</w:t>
            </w:r>
          </w:p>
        </w:tc>
        <w:tc>
          <w:tcPr>
            <w:tcW w:w="1854" w:type="dxa"/>
            <w:noWrap w:val="0"/>
            <w:vAlign w:val="top"/>
          </w:tcPr>
          <w:p>
            <w:pPr>
              <w:autoSpaceDE w:val="0"/>
              <w:autoSpaceDN w:val="0"/>
              <w:spacing w:after="120" w:line="440" w:lineRule="exact"/>
              <w:ind w:firstLine="480" w:firstLineChars="200"/>
              <w:rPr>
                <w:rFonts w:ascii="仿宋" w:hAnsi="仿宋" w:eastAsia="仿宋"/>
                <w:kern w:val="0"/>
                <w:sz w:val="24"/>
              </w:rPr>
            </w:pPr>
          </w:p>
        </w:tc>
      </w:tr>
    </w:tbl>
    <w:p>
      <w:pPr>
        <w:autoSpaceDE w:val="0"/>
        <w:autoSpaceDN w:val="0"/>
        <w:spacing w:after="120" w:line="440" w:lineRule="exact"/>
        <w:rPr>
          <w:rFonts w:ascii="仿宋" w:hAnsi="仿宋" w:eastAsia="仿宋"/>
          <w:kern w:val="0"/>
          <w:sz w:val="24"/>
        </w:rPr>
      </w:pPr>
      <w:r>
        <w:rPr>
          <w:rFonts w:hint="eastAsia" w:ascii="仿宋" w:hAnsi="仿宋" w:eastAsia="仿宋"/>
          <w:kern w:val="0"/>
          <w:sz w:val="24"/>
        </w:rPr>
        <w:t>2、钻孔参数：</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1）、布孔前，必须把所在平盘整理平整，无散货、虚货，以便于钻机行走，车辆进出、炮区作业方便。</w:t>
      </w:r>
    </w:p>
    <w:p>
      <w:pPr>
        <w:autoSpaceDE w:val="0"/>
        <w:autoSpaceDN w:val="0"/>
        <w:spacing w:after="120" w:line="440" w:lineRule="exact"/>
        <w:ind w:firstLine="480" w:firstLineChars="200"/>
        <w:jc w:val="left"/>
        <w:rPr>
          <w:rFonts w:ascii="仿宋" w:hAnsi="仿宋" w:eastAsia="仿宋"/>
          <w:kern w:val="0"/>
          <w:sz w:val="24"/>
        </w:rPr>
      </w:pPr>
      <w:r>
        <w:rPr>
          <w:rFonts w:hint="eastAsia" w:ascii="仿宋" w:hAnsi="仿宋" w:eastAsia="仿宋"/>
          <w:kern w:val="0"/>
          <w:sz w:val="24"/>
        </w:rPr>
        <w:t xml:space="preserve">2）、岩石炮孔一般采用2-4排孔三角型布置，孔深和孔网参数随着岩性变化随时调整 。  </w:t>
      </w:r>
    </w:p>
    <w:p>
      <w:pPr>
        <w:autoSpaceDE w:val="0"/>
        <w:autoSpaceDN w:val="0"/>
        <w:spacing w:after="120" w:line="440" w:lineRule="exact"/>
        <w:ind w:firstLine="480" w:firstLineChars="200"/>
        <w:jc w:val="center"/>
        <w:rPr>
          <w:rFonts w:ascii="仿宋" w:hAnsi="仿宋" w:eastAsia="仿宋"/>
          <w:kern w:val="0"/>
          <w:sz w:val="24"/>
        </w:rPr>
      </w:pPr>
      <w:r>
        <w:rPr>
          <w:rFonts w:hint="eastAsia" w:ascii="仿宋" w:hAnsi="仿宋" w:eastAsia="仿宋"/>
          <w:kern w:val="0"/>
          <w:sz w:val="24"/>
        </w:rPr>
        <w:t>各区域孔网参数及装药结构表</w:t>
      </w:r>
    </w:p>
    <w:tbl>
      <w:tblPr>
        <w:tblStyle w:val="3"/>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1"/>
        <w:gridCol w:w="1045"/>
        <w:gridCol w:w="816"/>
        <w:gridCol w:w="855"/>
        <w:gridCol w:w="855"/>
        <w:gridCol w:w="862"/>
        <w:gridCol w:w="912"/>
        <w:gridCol w:w="215"/>
        <w:gridCol w:w="741"/>
        <w:gridCol w:w="159"/>
        <w:gridCol w:w="1003"/>
        <w:gridCol w:w="329"/>
        <w:gridCol w:w="9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trPr>
        <w:tc>
          <w:tcPr>
            <w:tcW w:w="9489" w:type="dxa"/>
            <w:gridSpan w:val="13"/>
            <w:noWrap w:val="0"/>
            <w:vAlign w:val="center"/>
          </w:tcPr>
          <w:p>
            <w:pPr>
              <w:autoSpaceDE w:val="0"/>
              <w:autoSpaceDN w:val="0"/>
              <w:spacing w:after="120" w:line="480" w:lineRule="auto"/>
              <w:ind w:firstLine="480" w:firstLineChars="200"/>
              <w:jc w:val="center"/>
              <w:rPr>
                <w:rFonts w:ascii="仿宋" w:hAnsi="仿宋" w:eastAsia="仿宋"/>
                <w:bCs/>
                <w:kern w:val="0"/>
                <w:sz w:val="24"/>
              </w:rPr>
            </w:pPr>
            <w:r>
              <w:rPr>
                <w:rFonts w:hint="eastAsia" w:ascii="仿宋" w:hAnsi="仿宋" w:eastAsia="仿宋"/>
                <w:bCs/>
                <w:kern w:val="0"/>
                <w:sz w:val="24"/>
              </w:rPr>
              <w:t>170mm孔径炮孔钻孔爆破参数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trPr>
        <w:tc>
          <w:tcPr>
            <w:tcW w:w="791"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平盘</w:t>
            </w:r>
          </w:p>
        </w:tc>
        <w:tc>
          <w:tcPr>
            <w:tcW w:w="1045"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区域（区）</w:t>
            </w:r>
          </w:p>
        </w:tc>
        <w:tc>
          <w:tcPr>
            <w:tcW w:w="816"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抵抗</w:t>
            </w:r>
          </w:p>
          <w:p>
            <w:pPr>
              <w:autoSpaceDE w:val="0"/>
              <w:autoSpaceDN w:val="0"/>
              <w:spacing w:after="120"/>
              <w:jc w:val="center"/>
              <w:rPr>
                <w:rFonts w:ascii="仿宋" w:hAnsi="仿宋" w:eastAsia="仿宋"/>
                <w:kern w:val="0"/>
                <w:sz w:val="24"/>
              </w:rPr>
            </w:pPr>
            <w:r>
              <w:rPr>
                <w:rFonts w:hint="eastAsia" w:ascii="仿宋" w:hAnsi="仿宋" w:eastAsia="仿宋"/>
                <w:kern w:val="0"/>
                <w:sz w:val="24"/>
              </w:rPr>
              <w:t>米</w:t>
            </w:r>
          </w:p>
        </w:tc>
        <w:tc>
          <w:tcPr>
            <w:tcW w:w="855"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孔距</w:t>
            </w:r>
          </w:p>
          <w:p>
            <w:pPr>
              <w:autoSpaceDE w:val="0"/>
              <w:autoSpaceDN w:val="0"/>
              <w:spacing w:after="120"/>
              <w:jc w:val="center"/>
              <w:rPr>
                <w:rFonts w:ascii="仿宋" w:hAnsi="仿宋" w:eastAsia="仿宋"/>
                <w:kern w:val="0"/>
                <w:sz w:val="24"/>
              </w:rPr>
            </w:pPr>
            <w:r>
              <w:rPr>
                <w:rFonts w:hint="eastAsia" w:ascii="仿宋" w:hAnsi="仿宋" w:eastAsia="仿宋"/>
                <w:kern w:val="0"/>
                <w:sz w:val="24"/>
              </w:rPr>
              <w:t>米</w:t>
            </w:r>
          </w:p>
        </w:tc>
        <w:tc>
          <w:tcPr>
            <w:tcW w:w="855"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排距</w:t>
            </w:r>
          </w:p>
          <w:p>
            <w:pPr>
              <w:autoSpaceDE w:val="0"/>
              <w:autoSpaceDN w:val="0"/>
              <w:spacing w:after="120"/>
              <w:jc w:val="center"/>
              <w:rPr>
                <w:rFonts w:ascii="仿宋" w:hAnsi="仿宋" w:eastAsia="仿宋"/>
                <w:kern w:val="0"/>
                <w:sz w:val="24"/>
              </w:rPr>
            </w:pPr>
            <w:r>
              <w:rPr>
                <w:rFonts w:hint="eastAsia" w:ascii="仿宋" w:hAnsi="仿宋" w:eastAsia="仿宋"/>
                <w:kern w:val="0"/>
                <w:sz w:val="24"/>
              </w:rPr>
              <w:t>米</w:t>
            </w:r>
          </w:p>
        </w:tc>
        <w:tc>
          <w:tcPr>
            <w:tcW w:w="862"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孔径</w:t>
            </w:r>
          </w:p>
          <w:p>
            <w:pPr>
              <w:autoSpaceDE w:val="0"/>
              <w:autoSpaceDN w:val="0"/>
              <w:spacing w:after="120"/>
              <w:jc w:val="center"/>
              <w:rPr>
                <w:rFonts w:ascii="仿宋" w:hAnsi="仿宋" w:eastAsia="仿宋"/>
                <w:kern w:val="0"/>
                <w:sz w:val="24"/>
              </w:rPr>
            </w:pPr>
            <w:r>
              <w:rPr>
                <w:rFonts w:hint="eastAsia" w:ascii="仿宋" w:hAnsi="仿宋" w:eastAsia="仿宋"/>
                <w:kern w:val="0"/>
                <w:sz w:val="24"/>
              </w:rPr>
              <w:t>mm</w:t>
            </w:r>
          </w:p>
        </w:tc>
        <w:tc>
          <w:tcPr>
            <w:tcW w:w="912"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孔深</w:t>
            </w:r>
          </w:p>
          <w:p>
            <w:pPr>
              <w:autoSpaceDE w:val="0"/>
              <w:autoSpaceDN w:val="0"/>
              <w:spacing w:after="120"/>
              <w:jc w:val="center"/>
              <w:rPr>
                <w:rFonts w:ascii="仿宋" w:hAnsi="仿宋" w:eastAsia="仿宋"/>
                <w:kern w:val="0"/>
                <w:sz w:val="24"/>
              </w:rPr>
            </w:pPr>
            <w:r>
              <w:rPr>
                <w:rFonts w:hint="eastAsia" w:ascii="仿宋" w:hAnsi="仿宋" w:eastAsia="仿宋"/>
                <w:kern w:val="0"/>
                <w:sz w:val="24"/>
              </w:rPr>
              <w:t>米</w:t>
            </w:r>
          </w:p>
        </w:tc>
        <w:tc>
          <w:tcPr>
            <w:tcW w:w="956" w:type="dxa"/>
            <w:gridSpan w:val="2"/>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分层</w:t>
            </w:r>
          </w:p>
          <w:p>
            <w:pPr>
              <w:autoSpaceDE w:val="0"/>
              <w:autoSpaceDN w:val="0"/>
              <w:spacing w:after="120"/>
              <w:jc w:val="center"/>
              <w:rPr>
                <w:rFonts w:ascii="仿宋" w:hAnsi="仿宋" w:eastAsia="仿宋"/>
                <w:kern w:val="0"/>
                <w:sz w:val="24"/>
              </w:rPr>
            </w:pPr>
            <w:r>
              <w:rPr>
                <w:rFonts w:hint="eastAsia" w:ascii="仿宋" w:hAnsi="仿宋" w:eastAsia="仿宋"/>
                <w:kern w:val="0"/>
                <w:sz w:val="24"/>
              </w:rPr>
              <w:t>层</w:t>
            </w:r>
          </w:p>
        </w:tc>
        <w:tc>
          <w:tcPr>
            <w:tcW w:w="1162" w:type="dxa"/>
            <w:gridSpan w:val="2"/>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药量/孔</w:t>
            </w:r>
          </w:p>
          <w:p>
            <w:pPr>
              <w:autoSpaceDE w:val="0"/>
              <w:autoSpaceDN w:val="0"/>
              <w:spacing w:after="120"/>
              <w:jc w:val="center"/>
              <w:rPr>
                <w:rFonts w:ascii="仿宋" w:hAnsi="仿宋" w:eastAsia="仿宋"/>
                <w:kern w:val="0"/>
                <w:sz w:val="24"/>
              </w:rPr>
            </w:pPr>
            <w:r>
              <w:rPr>
                <w:rFonts w:hint="eastAsia" w:ascii="仿宋" w:hAnsi="仿宋" w:eastAsia="仿宋"/>
                <w:kern w:val="0"/>
                <w:sz w:val="24"/>
              </w:rPr>
              <w:t>公斤</w:t>
            </w:r>
          </w:p>
        </w:tc>
        <w:tc>
          <w:tcPr>
            <w:tcW w:w="1235" w:type="dxa"/>
            <w:gridSpan w:val="2"/>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单耗</w:t>
            </w:r>
          </w:p>
          <w:p>
            <w:pPr>
              <w:autoSpaceDE w:val="0"/>
              <w:autoSpaceDN w:val="0"/>
              <w:spacing w:after="120"/>
              <w:jc w:val="center"/>
              <w:rPr>
                <w:rFonts w:ascii="仿宋" w:hAnsi="仿宋" w:eastAsia="仿宋"/>
                <w:kern w:val="0"/>
                <w:sz w:val="24"/>
              </w:rPr>
            </w:pPr>
            <w:r>
              <w:rPr>
                <w:rFonts w:hint="eastAsia" w:ascii="仿宋" w:hAnsi="仿宋" w:eastAsia="仿宋"/>
                <w:kern w:val="0"/>
                <w:sz w:val="24"/>
              </w:rPr>
              <w:t>kg/m</w:t>
            </w:r>
            <w:r>
              <w:rPr>
                <w:rFonts w:hint="eastAsia" w:ascii="仿宋" w:hAnsi="仿宋" w:eastAsia="仿宋"/>
                <w:kern w:val="0"/>
                <w:sz w:val="24"/>
                <w:vertAlign w:val="superscript"/>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791"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煤平盘</w:t>
            </w:r>
          </w:p>
        </w:tc>
        <w:tc>
          <w:tcPr>
            <w:tcW w:w="1045"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1-5</w:t>
            </w:r>
          </w:p>
        </w:tc>
        <w:tc>
          <w:tcPr>
            <w:tcW w:w="816"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2-3.5</w:t>
            </w:r>
          </w:p>
        </w:tc>
        <w:tc>
          <w:tcPr>
            <w:tcW w:w="855"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5</w:t>
            </w:r>
          </w:p>
        </w:tc>
        <w:tc>
          <w:tcPr>
            <w:tcW w:w="855"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4</w:t>
            </w:r>
          </w:p>
        </w:tc>
        <w:tc>
          <w:tcPr>
            <w:tcW w:w="862"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170</w:t>
            </w:r>
          </w:p>
        </w:tc>
        <w:tc>
          <w:tcPr>
            <w:tcW w:w="912"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9</w:t>
            </w:r>
          </w:p>
        </w:tc>
        <w:tc>
          <w:tcPr>
            <w:tcW w:w="956" w:type="dxa"/>
            <w:gridSpan w:val="2"/>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2/3</w:t>
            </w:r>
          </w:p>
        </w:tc>
        <w:tc>
          <w:tcPr>
            <w:tcW w:w="1162" w:type="dxa"/>
            <w:gridSpan w:val="2"/>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20-60</w:t>
            </w:r>
          </w:p>
        </w:tc>
        <w:tc>
          <w:tcPr>
            <w:tcW w:w="1235" w:type="dxa"/>
            <w:gridSpan w:val="2"/>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0.1-0.24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9489" w:type="dxa"/>
            <w:gridSpan w:val="13"/>
            <w:noWrap w:val="0"/>
            <w:vAlign w:val="center"/>
          </w:tcPr>
          <w:p>
            <w:pPr>
              <w:autoSpaceDE w:val="0"/>
              <w:autoSpaceDN w:val="0"/>
              <w:spacing w:after="120"/>
              <w:jc w:val="center"/>
              <w:rPr>
                <w:rFonts w:ascii="仿宋" w:hAnsi="仿宋" w:eastAsia="仿宋"/>
                <w:bCs/>
                <w:kern w:val="0"/>
                <w:sz w:val="24"/>
              </w:rPr>
            </w:pPr>
            <w:r>
              <w:rPr>
                <w:rFonts w:hint="eastAsia" w:ascii="仿宋" w:hAnsi="仿宋" w:eastAsia="仿宋"/>
                <w:bCs/>
                <w:kern w:val="0"/>
                <w:sz w:val="24"/>
              </w:rPr>
              <w:t>220mm孔径炮孔钻孔爆破参数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791"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平盘</w:t>
            </w:r>
          </w:p>
        </w:tc>
        <w:tc>
          <w:tcPr>
            <w:tcW w:w="1045"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区域（区）</w:t>
            </w:r>
          </w:p>
        </w:tc>
        <w:tc>
          <w:tcPr>
            <w:tcW w:w="816"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抵抗</w:t>
            </w:r>
          </w:p>
          <w:p>
            <w:pPr>
              <w:autoSpaceDE w:val="0"/>
              <w:autoSpaceDN w:val="0"/>
              <w:spacing w:after="120"/>
              <w:jc w:val="center"/>
              <w:rPr>
                <w:rFonts w:ascii="仿宋" w:hAnsi="仿宋" w:eastAsia="仿宋"/>
                <w:kern w:val="0"/>
                <w:sz w:val="24"/>
              </w:rPr>
            </w:pPr>
            <w:r>
              <w:rPr>
                <w:rFonts w:hint="eastAsia" w:ascii="仿宋" w:hAnsi="仿宋" w:eastAsia="仿宋"/>
                <w:kern w:val="0"/>
                <w:sz w:val="24"/>
              </w:rPr>
              <w:t>米</w:t>
            </w:r>
          </w:p>
        </w:tc>
        <w:tc>
          <w:tcPr>
            <w:tcW w:w="855"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孔距</w:t>
            </w:r>
          </w:p>
          <w:p>
            <w:pPr>
              <w:autoSpaceDE w:val="0"/>
              <w:autoSpaceDN w:val="0"/>
              <w:spacing w:after="120"/>
              <w:jc w:val="center"/>
              <w:rPr>
                <w:rFonts w:ascii="仿宋" w:hAnsi="仿宋" w:eastAsia="仿宋"/>
                <w:kern w:val="0"/>
                <w:sz w:val="24"/>
              </w:rPr>
            </w:pPr>
            <w:r>
              <w:rPr>
                <w:rFonts w:hint="eastAsia" w:ascii="仿宋" w:hAnsi="仿宋" w:eastAsia="仿宋"/>
                <w:kern w:val="0"/>
                <w:sz w:val="24"/>
              </w:rPr>
              <w:t>米</w:t>
            </w:r>
          </w:p>
        </w:tc>
        <w:tc>
          <w:tcPr>
            <w:tcW w:w="855"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排距</w:t>
            </w:r>
          </w:p>
          <w:p>
            <w:pPr>
              <w:autoSpaceDE w:val="0"/>
              <w:autoSpaceDN w:val="0"/>
              <w:spacing w:after="120"/>
              <w:jc w:val="center"/>
              <w:rPr>
                <w:rFonts w:ascii="仿宋" w:hAnsi="仿宋" w:eastAsia="仿宋"/>
                <w:kern w:val="0"/>
                <w:sz w:val="24"/>
              </w:rPr>
            </w:pPr>
            <w:r>
              <w:rPr>
                <w:rFonts w:hint="eastAsia" w:ascii="仿宋" w:hAnsi="仿宋" w:eastAsia="仿宋"/>
                <w:kern w:val="0"/>
                <w:sz w:val="24"/>
              </w:rPr>
              <w:t>米</w:t>
            </w:r>
          </w:p>
        </w:tc>
        <w:tc>
          <w:tcPr>
            <w:tcW w:w="862"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孔径</w:t>
            </w:r>
          </w:p>
          <w:p>
            <w:pPr>
              <w:autoSpaceDE w:val="0"/>
              <w:autoSpaceDN w:val="0"/>
              <w:spacing w:after="120"/>
              <w:jc w:val="center"/>
              <w:rPr>
                <w:rFonts w:ascii="仿宋" w:hAnsi="仿宋" w:eastAsia="仿宋"/>
                <w:kern w:val="0"/>
                <w:sz w:val="24"/>
              </w:rPr>
            </w:pPr>
            <w:r>
              <w:rPr>
                <w:rFonts w:hint="eastAsia" w:ascii="仿宋" w:hAnsi="仿宋" w:eastAsia="仿宋"/>
                <w:kern w:val="0"/>
                <w:sz w:val="24"/>
              </w:rPr>
              <w:t>mm</w:t>
            </w:r>
          </w:p>
        </w:tc>
        <w:tc>
          <w:tcPr>
            <w:tcW w:w="1127" w:type="dxa"/>
            <w:gridSpan w:val="2"/>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孔深</w:t>
            </w:r>
          </w:p>
          <w:p>
            <w:pPr>
              <w:autoSpaceDE w:val="0"/>
              <w:autoSpaceDN w:val="0"/>
              <w:spacing w:after="120"/>
              <w:jc w:val="center"/>
              <w:rPr>
                <w:rFonts w:ascii="仿宋" w:hAnsi="仿宋" w:eastAsia="仿宋"/>
                <w:kern w:val="0"/>
                <w:sz w:val="24"/>
              </w:rPr>
            </w:pPr>
            <w:r>
              <w:rPr>
                <w:rFonts w:hint="eastAsia" w:ascii="仿宋" w:hAnsi="仿宋" w:eastAsia="仿宋"/>
                <w:kern w:val="0"/>
                <w:sz w:val="24"/>
              </w:rPr>
              <w:t>米</w:t>
            </w:r>
          </w:p>
        </w:tc>
        <w:tc>
          <w:tcPr>
            <w:tcW w:w="900" w:type="dxa"/>
            <w:gridSpan w:val="2"/>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分层</w:t>
            </w:r>
          </w:p>
          <w:p>
            <w:pPr>
              <w:autoSpaceDE w:val="0"/>
              <w:autoSpaceDN w:val="0"/>
              <w:spacing w:after="120"/>
              <w:jc w:val="center"/>
              <w:rPr>
                <w:rFonts w:ascii="仿宋" w:hAnsi="仿宋" w:eastAsia="仿宋"/>
                <w:kern w:val="0"/>
                <w:sz w:val="24"/>
              </w:rPr>
            </w:pPr>
            <w:r>
              <w:rPr>
                <w:rFonts w:hint="eastAsia" w:ascii="仿宋" w:hAnsi="仿宋" w:eastAsia="仿宋"/>
                <w:kern w:val="0"/>
                <w:sz w:val="24"/>
              </w:rPr>
              <w:t>层</w:t>
            </w:r>
          </w:p>
        </w:tc>
        <w:tc>
          <w:tcPr>
            <w:tcW w:w="1332" w:type="dxa"/>
            <w:gridSpan w:val="2"/>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药量/孔</w:t>
            </w:r>
          </w:p>
          <w:p>
            <w:pPr>
              <w:autoSpaceDE w:val="0"/>
              <w:autoSpaceDN w:val="0"/>
              <w:spacing w:after="120"/>
              <w:jc w:val="center"/>
              <w:rPr>
                <w:rFonts w:ascii="仿宋" w:hAnsi="仿宋" w:eastAsia="仿宋"/>
                <w:kern w:val="0"/>
                <w:sz w:val="24"/>
              </w:rPr>
            </w:pPr>
            <w:r>
              <w:rPr>
                <w:rFonts w:hint="eastAsia" w:ascii="仿宋" w:hAnsi="仿宋" w:eastAsia="仿宋"/>
                <w:kern w:val="0"/>
                <w:sz w:val="24"/>
              </w:rPr>
              <w:t>公斤</w:t>
            </w:r>
          </w:p>
        </w:tc>
        <w:tc>
          <w:tcPr>
            <w:tcW w:w="906"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单耗</w:t>
            </w:r>
          </w:p>
          <w:p>
            <w:pPr>
              <w:autoSpaceDE w:val="0"/>
              <w:autoSpaceDN w:val="0"/>
              <w:spacing w:after="120"/>
              <w:jc w:val="center"/>
              <w:rPr>
                <w:rFonts w:ascii="仿宋" w:hAnsi="仿宋" w:eastAsia="仿宋"/>
                <w:kern w:val="0"/>
                <w:sz w:val="24"/>
              </w:rPr>
            </w:pPr>
            <w:r>
              <w:rPr>
                <w:rFonts w:hint="eastAsia" w:ascii="仿宋" w:hAnsi="仿宋" w:eastAsia="仿宋"/>
                <w:kern w:val="0"/>
                <w:sz w:val="24"/>
              </w:rPr>
              <w:t>kg/m3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791"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10</w:t>
            </w:r>
          </w:p>
        </w:tc>
        <w:tc>
          <w:tcPr>
            <w:tcW w:w="1045"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1-5</w:t>
            </w:r>
          </w:p>
        </w:tc>
        <w:tc>
          <w:tcPr>
            <w:tcW w:w="816"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4.5</w:t>
            </w:r>
          </w:p>
        </w:tc>
        <w:tc>
          <w:tcPr>
            <w:tcW w:w="855"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8</w:t>
            </w:r>
          </w:p>
        </w:tc>
        <w:tc>
          <w:tcPr>
            <w:tcW w:w="855"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6</w:t>
            </w:r>
          </w:p>
        </w:tc>
        <w:tc>
          <w:tcPr>
            <w:tcW w:w="862"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220</w:t>
            </w:r>
          </w:p>
        </w:tc>
        <w:tc>
          <w:tcPr>
            <w:tcW w:w="1127" w:type="dxa"/>
            <w:gridSpan w:val="2"/>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24-28</w:t>
            </w:r>
          </w:p>
        </w:tc>
        <w:tc>
          <w:tcPr>
            <w:tcW w:w="900" w:type="dxa"/>
            <w:gridSpan w:val="2"/>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3</w:t>
            </w:r>
          </w:p>
        </w:tc>
        <w:tc>
          <w:tcPr>
            <w:tcW w:w="1332" w:type="dxa"/>
            <w:gridSpan w:val="2"/>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500-580</w:t>
            </w:r>
          </w:p>
        </w:tc>
        <w:tc>
          <w:tcPr>
            <w:tcW w:w="906"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0.44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791"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30</w:t>
            </w:r>
          </w:p>
        </w:tc>
        <w:tc>
          <w:tcPr>
            <w:tcW w:w="1045"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1-5</w:t>
            </w:r>
          </w:p>
        </w:tc>
        <w:tc>
          <w:tcPr>
            <w:tcW w:w="816"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4.5</w:t>
            </w:r>
          </w:p>
        </w:tc>
        <w:tc>
          <w:tcPr>
            <w:tcW w:w="855"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8</w:t>
            </w:r>
          </w:p>
        </w:tc>
        <w:tc>
          <w:tcPr>
            <w:tcW w:w="855"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6</w:t>
            </w:r>
          </w:p>
        </w:tc>
        <w:tc>
          <w:tcPr>
            <w:tcW w:w="862"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220</w:t>
            </w:r>
          </w:p>
        </w:tc>
        <w:tc>
          <w:tcPr>
            <w:tcW w:w="1127" w:type="dxa"/>
            <w:gridSpan w:val="2"/>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20-26</w:t>
            </w:r>
          </w:p>
        </w:tc>
        <w:tc>
          <w:tcPr>
            <w:tcW w:w="900" w:type="dxa"/>
            <w:gridSpan w:val="2"/>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3</w:t>
            </w:r>
          </w:p>
        </w:tc>
        <w:tc>
          <w:tcPr>
            <w:tcW w:w="1332" w:type="dxa"/>
            <w:gridSpan w:val="2"/>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360-500</w:t>
            </w:r>
          </w:p>
        </w:tc>
        <w:tc>
          <w:tcPr>
            <w:tcW w:w="906"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0.42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791"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40</w:t>
            </w:r>
          </w:p>
        </w:tc>
        <w:tc>
          <w:tcPr>
            <w:tcW w:w="1045"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1-5</w:t>
            </w:r>
          </w:p>
        </w:tc>
        <w:tc>
          <w:tcPr>
            <w:tcW w:w="816"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4.5</w:t>
            </w:r>
          </w:p>
        </w:tc>
        <w:tc>
          <w:tcPr>
            <w:tcW w:w="855"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8</w:t>
            </w:r>
          </w:p>
        </w:tc>
        <w:tc>
          <w:tcPr>
            <w:tcW w:w="855"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6</w:t>
            </w:r>
          </w:p>
        </w:tc>
        <w:tc>
          <w:tcPr>
            <w:tcW w:w="862"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220</w:t>
            </w:r>
          </w:p>
        </w:tc>
        <w:tc>
          <w:tcPr>
            <w:tcW w:w="1127" w:type="dxa"/>
            <w:gridSpan w:val="2"/>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18-24</w:t>
            </w:r>
          </w:p>
        </w:tc>
        <w:tc>
          <w:tcPr>
            <w:tcW w:w="900" w:type="dxa"/>
            <w:gridSpan w:val="2"/>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2/3</w:t>
            </w:r>
          </w:p>
        </w:tc>
        <w:tc>
          <w:tcPr>
            <w:tcW w:w="1332" w:type="dxa"/>
            <w:gridSpan w:val="2"/>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330-450</w:t>
            </w:r>
          </w:p>
        </w:tc>
        <w:tc>
          <w:tcPr>
            <w:tcW w:w="906"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0.41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791"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 xml:space="preserve">50、60 </w:t>
            </w:r>
          </w:p>
        </w:tc>
        <w:tc>
          <w:tcPr>
            <w:tcW w:w="1045"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1-6</w:t>
            </w:r>
          </w:p>
        </w:tc>
        <w:tc>
          <w:tcPr>
            <w:tcW w:w="816"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4.5</w:t>
            </w:r>
          </w:p>
        </w:tc>
        <w:tc>
          <w:tcPr>
            <w:tcW w:w="855"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8</w:t>
            </w:r>
          </w:p>
        </w:tc>
        <w:tc>
          <w:tcPr>
            <w:tcW w:w="855"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6</w:t>
            </w:r>
          </w:p>
        </w:tc>
        <w:tc>
          <w:tcPr>
            <w:tcW w:w="862"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220</w:t>
            </w:r>
          </w:p>
        </w:tc>
        <w:tc>
          <w:tcPr>
            <w:tcW w:w="1127" w:type="dxa"/>
            <w:gridSpan w:val="2"/>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18-28</w:t>
            </w:r>
          </w:p>
        </w:tc>
        <w:tc>
          <w:tcPr>
            <w:tcW w:w="900" w:type="dxa"/>
            <w:gridSpan w:val="2"/>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2/3</w:t>
            </w:r>
          </w:p>
        </w:tc>
        <w:tc>
          <w:tcPr>
            <w:tcW w:w="1332" w:type="dxa"/>
            <w:gridSpan w:val="2"/>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310-480</w:t>
            </w:r>
          </w:p>
        </w:tc>
        <w:tc>
          <w:tcPr>
            <w:tcW w:w="906" w:type="dxa"/>
            <w:noWrap w:val="0"/>
            <w:vAlign w:val="center"/>
          </w:tcPr>
          <w:p>
            <w:pPr>
              <w:autoSpaceDE w:val="0"/>
              <w:autoSpaceDN w:val="0"/>
              <w:spacing w:after="120"/>
              <w:jc w:val="center"/>
              <w:rPr>
                <w:rFonts w:ascii="仿宋" w:hAnsi="仿宋" w:eastAsia="仿宋"/>
                <w:kern w:val="0"/>
                <w:sz w:val="24"/>
              </w:rPr>
            </w:pPr>
            <w:r>
              <w:rPr>
                <w:rFonts w:hint="eastAsia" w:ascii="仿宋" w:hAnsi="仿宋" w:eastAsia="仿宋"/>
                <w:kern w:val="0"/>
                <w:sz w:val="24"/>
              </w:rPr>
              <w:t>0.38</w:t>
            </w:r>
          </w:p>
        </w:tc>
      </w:tr>
    </w:tbl>
    <w:p>
      <w:pPr>
        <w:autoSpaceDE w:val="0"/>
        <w:autoSpaceDN w:val="0"/>
        <w:spacing w:after="120" w:line="440" w:lineRule="exact"/>
        <w:rPr>
          <w:rFonts w:ascii="仿宋" w:hAnsi="仿宋" w:eastAsia="仿宋"/>
          <w:kern w:val="0"/>
          <w:sz w:val="24"/>
        </w:rPr>
      </w:pPr>
      <w:r>
        <w:rPr>
          <w:rFonts w:hint="eastAsia" w:ascii="仿宋" w:hAnsi="仿宋" w:eastAsia="仿宋"/>
          <w:kern w:val="0"/>
          <w:sz w:val="24"/>
        </w:rPr>
        <w:t>根据实际生产情况选择更合适的孔径进行穿孔，根据实际爆破效果对装药进行微量调整，对需要调整爆破参数值时需及时联系工程科办理变更手续。</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3）煤盘孔网参数：</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根据市场对煤的块度需要，分为双排孔松动爆破（原煤）、单排松动爆破（块煤）、多排加强松动爆破（粉煤）。</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双排孔松动爆破（原煤）</w:t>
      </w:r>
    </w:p>
    <w:tbl>
      <w:tblPr>
        <w:tblStyle w:val="3"/>
        <w:tblW w:w="9286"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69"/>
        <w:gridCol w:w="1569"/>
        <w:gridCol w:w="1569"/>
        <w:gridCol w:w="1569"/>
        <w:gridCol w:w="1815"/>
        <w:gridCol w:w="11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4" w:hRule="atLeast"/>
        </w:trPr>
        <w:tc>
          <w:tcPr>
            <w:tcW w:w="1569" w:type="dxa"/>
            <w:noWrap w:val="0"/>
            <w:vAlign w:val="center"/>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抵抗</w:t>
            </w:r>
          </w:p>
        </w:tc>
        <w:tc>
          <w:tcPr>
            <w:tcW w:w="1569" w:type="dxa"/>
            <w:noWrap w:val="0"/>
            <w:vAlign w:val="center"/>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孔拒</w:t>
            </w:r>
          </w:p>
        </w:tc>
        <w:tc>
          <w:tcPr>
            <w:tcW w:w="1569" w:type="dxa"/>
            <w:noWrap w:val="0"/>
            <w:vAlign w:val="center"/>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排拒</w:t>
            </w:r>
          </w:p>
        </w:tc>
        <w:tc>
          <w:tcPr>
            <w:tcW w:w="1569" w:type="dxa"/>
            <w:noWrap w:val="0"/>
            <w:vAlign w:val="center"/>
          </w:tcPr>
          <w:p>
            <w:pPr>
              <w:autoSpaceDE w:val="0"/>
              <w:autoSpaceDN w:val="0"/>
              <w:spacing w:after="120" w:line="440" w:lineRule="exact"/>
              <w:ind w:firstLine="480" w:firstLineChars="200"/>
              <w:jc w:val="center"/>
              <w:rPr>
                <w:rFonts w:ascii="仿宋" w:hAnsi="仿宋" w:eastAsia="仿宋"/>
                <w:kern w:val="0"/>
                <w:sz w:val="24"/>
              </w:rPr>
            </w:pPr>
            <w:r>
              <w:rPr>
                <w:rFonts w:hint="eastAsia" w:ascii="仿宋" w:hAnsi="仿宋" w:eastAsia="仿宋"/>
                <w:kern w:val="0"/>
                <w:sz w:val="24"/>
              </w:rPr>
              <w:t>分层</w:t>
            </w:r>
          </w:p>
        </w:tc>
        <w:tc>
          <w:tcPr>
            <w:tcW w:w="1815" w:type="dxa"/>
            <w:noWrap w:val="0"/>
            <w:vAlign w:val="center"/>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单耗</w:t>
            </w:r>
          </w:p>
        </w:tc>
        <w:tc>
          <w:tcPr>
            <w:tcW w:w="1195" w:type="dxa"/>
            <w:noWrap w:val="0"/>
            <w:vAlign w:val="center"/>
          </w:tcPr>
          <w:p>
            <w:pPr>
              <w:autoSpaceDE w:val="0"/>
              <w:autoSpaceDN w:val="0"/>
              <w:spacing w:after="120" w:line="440" w:lineRule="exact"/>
              <w:rPr>
                <w:rFonts w:ascii="仿宋" w:hAnsi="仿宋" w:eastAsia="仿宋"/>
                <w:kern w:val="0"/>
                <w:sz w:val="24"/>
              </w:rPr>
            </w:pPr>
            <w:r>
              <w:rPr>
                <w:rFonts w:hint="eastAsia" w:ascii="仿宋" w:hAnsi="仿宋" w:eastAsia="仿宋"/>
                <w:kern w:val="0"/>
                <w:sz w:val="24"/>
              </w:rPr>
              <w:t>装药量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9" w:hRule="atLeast"/>
        </w:trPr>
        <w:tc>
          <w:tcPr>
            <w:tcW w:w="1569" w:type="dxa"/>
            <w:noWrap w:val="0"/>
            <w:vAlign w:val="center"/>
          </w:tcPr>
          <w:p>
            <w:pPr>
              <w:autoSpaceDE w:val="0"/>
              <w:autoSpaceDN w:val="0"/>
              <w:spacing w:after="120" w:line="440" w:lineRule="exact"/>
              <w:rPr>
                <w:rFonts w:ascii="仿宋" w:hAnsi="仿宋" w:eastAsia="仿宋"/>
                <w:kern w:val="0"/>
                <w:sz w:val="24"/>
              </w:rPr>
            </w:pPr>
            <w:r>
              <w:rPr>
                <w:rFonts w:hint="eastAsia" w:ascii="仿宋" w:hAnsi="仿宋" w:eastAsia="仿宋"/>
                <w:kern w:val="0"/>
                <w:sz w:val="24"/>
              </w:rPr>
              <w:t>2.5米-3米</w:t>
            </w:r>
          </w:p>
        </w:tc>
        <w:tc>
          <w:tcPr>
            <w:tcW w:w="1569" w:type="dxa"/>
            <w:noWrap w:val="0"/>
            <w:vAlign w:val="center"/>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5米</w:t>
            </w:r>
          </w:p>
        </w:tc>
        <w:tc>
          <w:tcPr>
            <w:tcW w:w="1569" w:type="dxa"/>
            <w:noWrap w:val="0"/>
            <w:vAlign w:val="center"/>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4米</w:t>
            </w:r>
          </w:p>
        </w:tc>
        <w:tc>
          <w:tcPr>
            <w:tcW w:w="1569" w:type="dxa"/>
            <w:noWrap w:val="0"/>
            <w:vAlign w:val="center"/>
          </w:tcPr>
          <w:p>
            <w:pPr>
              <w:autoSpaceDE w:val="0"/>
              <w:autoSpaceDN w:val="0"/>
              <w:spacing w:after="120" w:line="440" w:lineRule="exact"/>
              <w:ind w:firstLine="480" w:firstLineChars="200"/>
              <w:jc w:val="center"/>
              <w:rPr>
                <w:rFonts w:ascii="仿宋" w:hAnsi="仿宋" w:eastAsia="仿宋"/>
                <w:kern w:val="0"/>
                <w:sz w:val="24"/>
              </w:rPr>
            </w:pPr>
            <w:r>
              <w:rPr>
                <w:rFonts w:hint="eastAsia" w:ascii="仿宋" w:hAnsi="仿宋" w:eastAsia="仿宋"/>
                <w:kern w:val="0"/>
                <w:sz w:val="24"/>
              </w:rPr>
              <w:t>3层</w:t>
            </w:r>
          </w:p>
        </w:tc>
        <w:tc>
          <w:tcPr>
            <w:tcW w:w="1815" w:type="dxa"/>
            <w:noWrap w:val="0"/>
            <w:vAlign w:val="center"/>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0.18kg/t</w:t>
            </w:r>
          </w:p>
        </w:tc>
        <w:tc>
          <w:tcPr>
            <w:tcW w:w="1195" w:type="dxa"/>
            <w:noWrap w:val="0"/>
            <w:vAlign w:val="center"/>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35kg</w:t>
            </w:r>
          </w:p>
        </w:tc>
      </w:tr>
    </w:tbl>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单排松动爆破（块煤）</w:t>
      </w:r>
    </w:p>
    <w:tbl>
      <w:tblPr>
        <w:tblStyle w:val="3"/>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56"/>
        <w:gridCol w:w="1855"/>
        <w:gridCol w:w="2259"/>
        <w:gridCol w:w="2258"/>
        <w:gridCol w:w="10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856" w:type="dxa"/>
            <w:noWrap w:val="0"/>
            <w:vAlign w:val="center"/>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抵抗</w:t>
            </w:r>
          </w:p>
        </w:tc>
        <w:tc>
          <w:tcPr>
            <w:tcW w:w="1855" w:type="dxa"/>
            <w:noWrap w:val="0"/>
            <w:vAlign w:val="center"/>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孔拒</w:t>
            </w:r>
          </w:p>
        </w:tc>
        <w:tc>
          <w:tcPr>
            <w:tcW w:w="2259" w:type="dxa"/>
            <w:noWrap w:val="0"/>
            <w:vAlign w:val="center"/>
          </w:tcPr>
          <w:p>
            <w:pPr>
              <w:autoSpaceDE w:val="0"/>
              <w:autoSpaceDN w:val="0"/>
              <w:spacing w:after="120" w:line="440" w:lineRule="exact"/>
              <w:ind w:firstLine="480" w:firstLineChars="200"/>
              <w:jc w:val="center"/>
              <w:rPr>
                <w:rFonts w:ascii="仿宋" w:hAnsi="仿宋" w:eastAsia="仿宋"/>
                <w:kern w:val="0"/>
                <w:sz w:val="24"/>
              </w:rPr>
            </w:pPr>
            <w:r>
              <w:rPr>
                <w:rFonts w:hint="eastAsia" w:ascii="仿宋" w:hAnsi="仿宋" w:eastAsia="仿宋"/>
                <w:kern w:val="0"/>
                <w:sz w:val="24"/>
              </w:rPr>
              <w:t>分层</w:t>
            </w:r>
          </w:p>
        </w:tc>
        <w:tc>
          <w:tcPr>
            <w:tcW w:w="2258" w:type="dxa"/>
            <w:noWrap w:val="0"/>
            <w:vAlign w:val="center"/>
          </w:tcPr>
          <w:p>
            <w:pPr>
              <w:autoSpaceDE w:val="0"/>
              <w:autoSpaceDN w:val="0"/>
              <w:spacing w:after="120" w:line="440" w:lineRule="exact"/>
              <w:ind w:firstLine="480" w:firstLineChars="200"/>
              <w:jc w:val="center"/>
              <w:rPr>
                <w:rFonts w:ascii="仿宋" w:hAnsi="仿宋" w:eastAsia="仿宋"/>
                <w:kern w:val="0"/>
                <w:sz w:val="24"/>
              </w:rPr>
            </w:pPr>
            <w:r>
              <w:rPr>
                <w:rFonts w:hint="eastAsia" w:ascii="仿宋" w:hAnsi="仿宋" w:eastAsia="仿宋"/>
                <w:kern w:val="0"/>
                <w:sz w:val="24"/>
              </w:rPr>
              <w:t>单耗</w:t>
            </w:r>
          </w:p>
        </w:tc>
        <w:tc>
          <w:tcPr>
            <w:tcW w:w="1058" w:type="dxa"/>
            <w:noWrap w:val="0"/>
            <w:vAlign w:val="center"/>
          </w:tcPr>
          <w:p>
            <w:pPr>
              <w:autoSpaceDE w:val="0"/>
              <w:autoSpaceDN w:val="0"/>
              <w:spacing w:after="120" w:line="440" w:lineRule="exact"/>
              <w:rPr>
                <w:rFonts w:ascii="仿宋" w:hAnsi="仿宋" w:eastAsia="仿宋"/>
                <w:kern w:val="0"/>
                <w:sz w:val="24"/>
              </w:rPr>
            </w:pPr>
            <w:r>
              <w:rPr>
                <w:rFonts w:hint="eastAsia" w:ascii="仿宋" w:hAnsi="仿宋" w:eastAsia="仿宋"/>
                <w:kern w:val="0"/>
                <w:sz w:val="24"/>
              </w:rPr>
              <w:t>装药量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1856" w:type="dxa"/>
            <w:noWrap w:val="0"/>
            <w:vAlign w:val="center"/>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3.5米</w:t>
            </w:r>
          </w:p>
        </w:tc>
        <w:tc>
          <w:tcPr>
            <w:tcW w:w="1855" w:type="dxa"/>
            <w:noWrap w:val="0"/>
            <w:vAlign w:val="center"/>
          </w:tcPr>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5.5米</w:t>
            </w:r>
          </w:p>
        </w:tc>
        <w:tc>
          <w:tcPr>
            <w:tcW w:w="2259" w:type="dxa"/>
            <w:noWrap w:val="0"/>
            <w:vAlign w:val="center"/>
          </w:tcPr>
          <w:p>
            <w:pPr>
              <w:autoSpaceDE w:val="0"/>
              <w:autoSpaceDN w:val="0"/>
              <w:spacing w:after="120" w:line="440" w:lineRule="exact"/>
              <w:ind w:firstLine="480" w:firstLineChars="200"/>
              <w:jc w:val="center"/>
              <w:rPr>
                <w:rFonts w:ascii="仿宋" w:hAnsi="仿宋" w:eastAsia="仿宋"/>
                <w:kern w:val="0"/>
                <w:sz w:val="24"/>
              </w:rPr>
            </w:pPr>
            <w:r>
              <w:rPr>
                <w:rFonts w:hint="eastAsia" w:ascii="仿宋" w:hAnsi="仿宋" w:eastAsia="仿宋"/>
                <w:kern w:val="0"/>
                <w:sz w:val="24"/>
              </w:rPr>
              <w:t>2层</w:t>
            </w:r>
          </w:p>
        </w:tc>
        <w:tc>
          <w:tcPr>
            <w:tcW w:w="2258" w:type="dxa"/>
            <w:noWrap w:val="0"/>
            <w:vAlign w:val="center"/>
          </w:tcPr>
          <w:p>
            <w:pPr>
              <w:autoSpaceDE w:val="0"/>
              <w:autoSpaceDN w:val="0"/>
              <w:spacing w:after="120" w:line="440" w:lineRule="exact"/>
              <w:ind w:firstLine="480" w:firstLineChars="200"/>
              <w:jc w:val="center"/>
              <w:rPr>
                <w:rFonts w:ascii="仿宋" w:hAnsi="仿宋" w:eastAsia="仿宋"/>
                <w:kern w:val="0"/>
                <w:sz w:val="24"/>
              </w:rPr>
            </w:pPr>
            <w:r>
              <w:rPr>
                <w:rFonts w:hint="eastAsia" w:ascii="仿宋" w:hAnsi="仿宋" w:eastAsia="仿宋"/>
                <w:kern w:val="0"/>
                <w:sz w:val="24"/>
              </w:rPr>
              <w:t>0.06kg/t</w:t>
            </w:r>
          </w:p>
        </w:tc>
        <w:tc>
          <w:tcPr>
            <w:tcW w:w="1058" w:type="dxa"/>
            <w:noWrap w:val="0"/>
            <w:vAlign w:val="center"/>
          </w:tcPr>
          <w:p>
            <w:pPr>
              <w:autoSpaceDE w:val="0"/>
              <w:autoSpaceDN w:val="0"/>
              <w:spacing w:after="120" w:line="440" w:lineRule="exact"/>
              <w:rPr>
                <w:rFonts w:ascii="仿宋" w:hAnsi="仿宋" w:eastAsia="仿宋"/>
                <w:kern w:val="0"/>
                <w:sz w:val="24"/>
              </w:rPr>
            </w:pPr>
            <w:r>
              <w:rPr>
                <w:rFonts w:hint="eastAsia" w:ascii="仿宋" w:hAnsi="仿宋" w:eastAsia="仿宋"/>
                <w:kern w:val="0"/>
                <w:sz w:val="24"/>
              </w:rPr>
              <w:t>12.4kg</w:t>
            </w:r>
          </w:p>
        </w:tc>
      </w:tr>
    </w:tbl>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多排加强松动爆破（粉煤）</w:t>
      </w:r>
    </w:p>
    <w:tbl>
      <w:tblPr>
        <w:tblStyle w:val="3"/>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69"/>
        <w:gridCol w:w="1569"/>
        <w:gridCol w:w="1569"/>
        <w:gridCol w:w="1569"/>
        <w:gridCol w:w="1910"/>
        <w:gridCol w:w="11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6" w:hRule="atLeast"/>
        </w:trPr>
        <w:tc>
          <w:tcPr>
            <w:tcW w:w="1569" w:type="dxa"/>
            <w:noWrap w:val="0"/>
            <w:vAlign w:val="center"/>
          </w:tcPr>
          <w:p>
            <w:pPr>
              <w:autoSpaceDE w:val="0"/>
              <w:autoSpaceDN w:val="0"/>
              <w:spacing w:after="120" w:line="480" w:lineRule="auto"/>
              <w:jc w:val="center"/>
              <w:rPr>
                <w:rFonts w:ascii="仿宋" w:hAnsi="仿宋" w:eastAsia="仿宋"/>
                <w:kern w:val="0"/>
                <w:sz w:val="24"/>
              </w:rPr>
            </w:pPr>
            <w:r>
              <w:rPr>
                <w:rFonts w:hint="eastAsia" w:ascii="仿宋" w:hAnsi="仿宋" w:eastAsia="仿宋"/>
                <w:kern w:val="0"/>
                <w:sz w:val="24"/>
              </w:rPr>
              <w:t>抵抗</w:t>
            </w:r>
          </w:p>
        </w:tc>
        <w:tc>
          <w:tcPr>
            <w:tcW w:w="1569" w:type="dxa"/>
            <w:noWrap w:val="0"/>
            <w:vAlign w:val="center"/>
          </w:tcPr>
          <w:p>
            <w:pPr>
              <w:autoSpaceDE w:val="0"/>
              <w:autoSpaceDN w:val="0"/>
              <w:spacing w:after="120" w:line="480" w:lineRule="auto"/>
              <w:jc w:val="center"/>
              <w:rPr>
                <w:rFonts w:ascii="仿宋" w:hAnsi="仿宋" w:eastAsia="仿宋"/>
                <w:kern w:val="0"/>
                <w:sz w:val="24"/>
              </w:rPr>
            </w:pPr>
            <w:r>
              <w:rPr>
                <w:rFonts w:hint="eastAsia" w:ascii="仿宋" w:hAnsi="仿宋" w:eastAsia="仿宋"/>
                <w:kern w:val="0"/>
                <w:sz w:val="24"/>
              </w:rPr>
              <w:t>孔拒</w:t>
            </w:r>
          </w:p>
        </w:tc>
        <w:tc>
          <w:tcPr>
            <w:tcW w:w="1569" w:type="dxa"/>
            <w:noWrap w:val="0"/>
            <w:vAlign w:val="center"/>
          </w:tcPr>
          <w:p>
            <w:pPr>
              <w:autoSpaceDE w:val="0"/>
              <w:autoSpaceDN w:val="0"/>
              <w:spacing w:after="120" w:line="480" w:lineRule="auto"/>
              <w:jc w:val="center"/>
              <w:rPr>
                <w:rFonts w:ascii="仿宋" w:hAnsi="仿宋" w:eastAsia="仿宋"/>
                <w:kern w:val="0"/>
                <w:sz w:val="24"/>
              </w:rPr>
            </w:pPr>
            <w:r>
              <w:rPr>
                <w:rFonts w:hint="eastAsia" w:ascii="仿宋" w:hAnsi="仿宋" w:eastAsia="仿宋"/>
                <w:kern w:val="0"/>
                <w:sz w:val="24"/>
              </w:rPr>
              <w:t>排拒</w:t>
            </w:r>
          </w:p>
        </w:tc>
        <w:tc>
          <w:tcPr>
            <w:tcW w:w="1569" w:type="dxa"/>
            <w:noWrap w:val="0"/>
            <w:vAlign w:val="top"/>
          </w:tcPr>
          <w:p>
            <w:pPr>
              <w:autoSpaceDE w:val="0"/>
              <w:autoSpaceDN w:val="0"/>
              <w:spacing w:after="120" w:line="480" w:lineRule="auto"/>
              <w:jc w:val="center"/>
              <w:rPr>
                <w:rFonts w:ascii="仿宋" w:hAnsi="仿宋" w:eastAsia="仿宋"/>
                <w:kern w:val="0"/>
                <w:sz w:val="24"/>
              </w:rPr>
            </w:pPr>
            <w:r>
              <w:rPr>
                <w:rFonts w:hint="eastAsia" w:ascii="仿宋" w:hAnsi="仿宋" w:eastAsia="仿宋"/>
                <w:kern w:val="0"/>
                <w:sz w:val="24"/>
              </w:rPr>
              <w:t>分层</w:t>
            </w:r>
          </w:p>
        </w:tc>
        <w:tc>
          <w:tcPr>
            <w:tcW w:w="1910" w:type="dxa"/>
            <w:noWrap w:val="0"/>
            <w:vAlign w:val="center"/>
          </w:tcPr>
          <w:p>
            <w:pPr>
              <w:autoSpaceDE w:val="0"/>
              <w:autoSpaceDN w:val="0"/>
              <w:spacing w:after="120" w:line="480" w:lineRule="auto"/>
              <w:jc w:val="center"/>
              <w:rPr>
                <w:rFonts w:ascii="仿宋" w:hAnsi="仿宋" w:eastAsia="仿宋"/>
                <w:kern w:val="0"/>
                <w:sz w:val="24"/>
              </w:rPr>
            </w:pPr>
            <w:r>
              <w:rPr>
                <w:rFonts w:hint="eastAsia" w:ascii="仿宋" w:hAnsi="仿宋" w:eastAsia="仿宋"/>
                <w:kern w:val="0"/>
                <w:sz w:val="24"/>
              </w:rPr>
              <w:t>单耗</w:t>
            </w:r>
          </w:p>
        </w:tc>
        <w:tc>
          <w:tcPr>
            <w:tcW w:w="1100" w:type="dxa"/>
            <w:noWrap w:val="0"/>
            <w:vAlign w:val="center"/>
          </w:tcPr>
          <w:p>
            <w:pPr>
              <w:autoSpaceDE w:val="0"/>
              <w:autoSpaceDN w:val="0"/>
              <w:spacing w:after="120" w:line="480" w:lineRule="auto"/>
              <w:jc w:val="center"/>
              <w:rPr>
                <w:rFonts w:ascii="仿宋" w:hAnsi="仿宋" w:eastAsia="仿宋"/>
                <w:kern w:val="0"/>
                <w:sz w:val="24"/>
              </w:rPr>
            </w:pPr>
            <w:r>
              <w:rPr>
                <w:rFonts w:hint="eastAsia" w:ascii="仿宋" w:hAnsi="仿宋" w:eastAsia="仿宋"/>
                <w:kern w:val="0"/>
                <w:sz w:val="24"/>
              </w:rPr>
              <w:t>装药量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 w:hRule="atLeast"/>
        </w:trPr>
        <w:tc>
          <w:tcPr>
            <w:tcW w:w="1569" w:type="dxa"/>
            <w:noWrap w:val="0"/>
            <w:vAlign w:val="center"/>
          </w:tcPr>
          <w:p>
            <w:pPr>
              <w:autoSpaceDE w:val="0"/>
              <w:autoSpaceDN w:val="0"/>
              <w:spacing w:after="120" w:line="480" w:lineRule="auto"/>
              <w:jc w:val="center"/>
              <w:rPr>
                <w:rFonts w:ascii="仿宋" w:hAnsi="仿宋" w:eastAsia="仿宋"/>
                <w:kern w:val="0"/>
                <w:sz w:val="24"/>
              </w:rPr>
            </w:pPr>
            <w:r>
              <w:rPr>
                <w:rFonts w:hint="eastAsia" w:ascii="仿宋" w:hAnsi="仿宋" w:eastAsia="仿宋"/>
                <w:kern w:val="0"/>
                <w:sz w:val="24"/>
              </w:rPr>
              <w:t>2.5米-3米</w:t>
            </w:r>
          </w:p>
        </w:tc>
        <w:tc>
          <w:tcPr>
            <w:tcW w:w="1569" w:type="dxa"/>
            <w:noWrap w:val="0"/>
            <w:vAlign w:val="center"/>
          </w:tcPr>
          <w:p>
            <w:pPr>
              <w:autoSpaceDE w:val="0"/>
              <w:autoSpaceDN w:val="0"/>
              <w:spacing w:after="120" w:line="480" w:lineRule="auto"/>
              <w:jc w:val="center"/>
              <w:rPr>
                <w:rFonts w:ascii="仿宋" w:hAnsi="仿宋" w:eastAsia="仿宋"/>
                <w:kern w:val="0"/>
                <w:sz w:val="24"/>
              </w:rPr>
            </w:pPr>
            <w:r>
              <w:rPr>
                <w:rFonts w:hint="eastAsia" w:ascii="仿宋" w:hAnsi="仿宋" w:eastAsia="仿宋"/>
                <w:kern w:val="0"/>
                <w:sz w:val="24"/>
              </w:rPr>
              <w:t>4米</w:t>
            </w:r>
          </w:p>
        </w:tc>
        <w:tc>
          <w:tcPr>
            <w:tcW w:w="1569" w:type="dxa"/>
            <w:noWrap w:val="0"/>
            <w:vAlign w:val="center"/>
          </w:tcPr>
          <w:p>
            <w:pPr>
              <w:autoSpaceDE w:val="0"/>
              <w:autoSpaceDN w:val="0"/>
              <w:spacing w:after="120" w:line="480" w:lineRule="auto"/>
              <w:jc w:val="center"/>
              <w:rPr>
                <w:rFonts w:ascii="仿宋" w:hAnsi="仿宋" w:eastAsia="仿宋"/>
                <w:kern w:val="0"/>
                <w:sz w:val="24"/>
              </w:rPr>
            </w:pPr>
            <w:r>
              <w:rPr>
                <w:rFonts w:hint="eastAsia" w:ascii="仿宋" w:hAnsi="仿宋" w:eastAsia="仿宋"/>
                <w:kern w:val="0"/>
                <w:sz w:val="24"/>
              </w:rPr>
              <w:t>4米</w:t>
            </w:r>
          </w:p>
        </w:tc>
        <w:tc>
          <w:tcPr>
            <w:tcW w:w="1569" w:type="dxa"/>
            <w:noWrap w:val="0"/>
            <w:vAlign w:val="top"/>
          </w:tcPr>
          <w:p>
            <w:pPr>
              <w:autoSpaceDE w:val="0"/>
              <w:autoSpaceDN w:val="0"/>
              <w:spacing w:after="120" w:line="480" w:lineRule="auto"/>
              <w:jc w:val="center"/>
              <w:rPr>
                <w:rFonts w:ascii="仿宋" w:hAnsi="仿宋" w:eastAsia="仿宋"/>
                <w:kern w:val="0"/>
                <w:sz w:val="24"/>
              </w:rPr>
            </w:pPr>
            <w:r>
              <w:rPr>
                <w:rFonts w:hint="eastAsia" w:ascii="仿宋" w:hAnsi="仿宋" w:eastAsia="仿宋"/>
                <w:kern w:val="0"/>
                <w:sz w:val="24"/>
              </w:rPr>
              <w:t>3层</w:t>
            </w:r>
          </w:p>
        </w:tc>
        <w:tc>
          <w:tcPr>
            <w:tcW w:w="1910" w:type="dxa"/>
            <w:noWrap w:val="0"/>
            <w:vAlign w:val="center"/>
          </w:tcPr>
          <w:p>
            <w:pPr>
              <w:autoSpaceDE w:val="0"/>
              <w:autoSpaceDN w:val="0"/>
              <w:spacing w:after="120" w:line="480" w:lineRule="auto"/>
              <w:jc w:val="center"/>
              <w:rPr>
                <w:rFonts w:ascii="仿宋" w:hAnsi="仿宋" w:eastAsia="仿宋"/>
                <w:kern w:val="0"/>
                <w:sz w:val="24"/>
              </w:rPr>
            </w:pPr>
            <w:r>
              <w:rPr>
                <w:rFonts w:hint="eastAsia" w:ascii="仿宋" w:hAnsi="仿宋" w:eastAsia="仿宋"/>
                <w:kern w:val="0"/>
                <w:sz w:val="24"/>
              </w:rPr>
              <w:t>0.4kg/t</w:t>
            </w:r>
          </w:p>
        </w:tc>
        <w:tc>
          <w:tcPr>
            <w:tcW w:w="1100" w:type="dxa"/>
            <w:noWrap w:val="0"/>
            <w:vAlign w:val="center"/>
          </w:tcPr>
          <w:p>
            <w:pPr>
              <w:autoSpaceDE w:val="0"/>
              <w:autoSpaceDN w:val="0"/>
              <w:spacing w:after="120" w:line="480" w:lineRule="auto"/>
              <w:jc w:val="center"/>
              <w:rPr>
                <w:rFonts w:ascii="仿宋" w:hAnsi="仿宋" w:eastAsia="仿宋"/>
                <w:kern w:val="0"/>
                <w:sz w:val="24"/>
              </w:rPr>
            </w:pPr>
            <w:r>
              <w:rPr>
                <w:rFonts w:hint="eastAsia" w:ascii="仿宋" w:hAnsi="仿宋" w:eastAsia="仿宋"/>
                <w:kern w:val="0"/>
                <w:sz w:val="24"/>
              </w:rPr>
              <w:t>80kg</w:t>
            </w:r>
          </w:p>
        </w:tc>
      </w:tr>
    </w:tbl>
    <w:p>
      <w:pPr>
        <w:autoSpaceDE w:val="0"/>
        <w:autoSpaceDN w:val="0"/>
        <w:spacing w:after="120" w:line="440" w:lineRule="exact"/>
        <w:rPr>
          <w:rFonts w:ascii="仿宋" w:hAnsi="仿宋" w:eastAsia="仿宋"/>
          <w:kern w:val="0"/>
          <w:sz w:val="24"/>
        </w:rPr>
      </w:pPr>
      <w:r>
        <w:rPr>
          <w:rFonts w:hint="eastAsia" w:ascii="仿宋" w:hAnsi="仿宋" w:eastAsia="仿宋"/>
          <w:kern w:val="0"/>
          <w:sz w:val="24"/>
        </w:rPr>
        <w:t>如个别区域孔网参数要进行调整，需通过矿生产管理部门的审核，并对补充或变更孔网参数的审核文件进行存档。</w:t>
      </w:r>
    </w:p>
    <w:p>
      <w:pPr>
        <w:autoSpaceDE w:val="0"/>
        <w:autoSpaceDN w:val="0"/>
        <w:spacing w:line="440" w:lineRule="exact"/>
        <w:jc w:val="center"/>
        <w:rPr>
          <w:rFonts w:ascii="仿宋" w:hAnsi="仿宋" w:eastAsia="仿宋"/>
          <w:kern w:val="0"/>
          <w:sz w:val="24"/>
        </w:rPr>
      </w:pPr>
      <w:bookmarkStart w:id="175" w:name="_Toc251095257"/>
      <w:bookmarkEnd w:id="175"/>
      <w:bookmarkStart w:id="176" w:name="_Toc251094213"/>
      <w:bookmarkEnd w:id="176"/>
      <w:bookmarkStart w:id="177" w:name="_Toc256980150"/>
      <w:bookmarkEnd w:id="177"/>
      <w:bookmarkStart w:id="178" w:name="_Toc10978"/>
      <w:bookmarkEnd w:id="178"/>
      <w:bookmarkStart w:id="179" w:name="_Toc251095733"/>
      <w:bookmarkEnd w:id="179"/>
      <w:bookmarkStart w:id="180" w:name="_Toc251095890"/>
      <w:bookmarkEnd w:id="180"/>
      <w:bookmarkStart w:id="181" w:name="_Toc251095701"/>
      <w:bookmarkEnd w:id="181"/>
      <w:bookmarkStart w:id="182" w:name="_Toc251095787"/>
      <w:bookmarkEnd w:id="182"/>
      <w:r>
        <w:rPr>
          <w:rFonts w:hint="eastAsia" w:ascii="仿宋" w:hAnsi="仿宋" w:eastAsia="仿宋"/>
          <w:kern w:val="0"/>
          <w:sz w:val="24"/>
        </w:rPr>
        <w:t>第五节 运输道路技术参数</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本矿采用半固定坑线配合移动坑线的公路开拓运输系统。 剥离物经中部和北部主干线排至内排土场，原煤经出入沟经上煤路运至黑炭沟装车站。</w:t>
      </w:r>
    </w:p>
    <w:p>
      <w:pPr>
        <w:autoSpaceDE w:val="0"/>
        <w:autoSpaceDN w:val="0"/>
        <w:spacing w:after="120" w:line="440" w:lineRule="exact"/>
        <w:rPr>
          <w:rFonts w:ascii="仿宋" w:hAnsi="仿宋" w:eastAsia="仿宋"/>
          <w:kern w:val="0"/>
          <w:sz w:val="24"/>
        </w:rPr>
      </w:pPr>
      <w:r>
        <w:rPr>
          <w:rFonts w:hint="eastAsia" w:ascii="仿宋" w:hAnsi="仿宋" w:eastAsia="仿宋"/>
          <w:kern w:val="0"/>
          <w:sz w:val="24"/>
        </w:rPr>
        <w:t>工作面调车方式：采煤及剥离工作面均采用廻返式。</w:t>
      </w:r>
    </w:p>
    <w:p>
      <w:pPr>
        <w:autoSpaceDE w:val="0"/>
        <w:autoSpaceDN w:val="0"/>
        <w:spacing w:after="120" w:line="440" w:lineRule="exact"/>
        <w:rPr>
          <w:rFonts w:ascii="仿宋" w:hAnsi="仿宋" w:eastAsia="仿宋"/>
          <w:kern w:val="0"/>
          <w:sz w:val="24"/>
        </w:rPr>
      </w:pPr>
      <w:r>
        <w:rPr>
          <w:rFonts w:hint="eastAsia" w:ascii="仿宋" w:hAnsi="仿宋" w:eastAsia="仿宋"/>
          <w:kern w:val="0"/>
          <w:sz w:val="24"/>
        </w:rPr>
        <w:t>道路参数：</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(1)、双车道路面净宽不小于9m；</w:t>
      </w:r>
    </w:p>
    <w:p>
      <w:pPr>
        <w:autoSpaceDE w:val="0"/>
        <w:autoSpaceDN w:val="0"/>
        <w:spacing w:after="120" w:line="440" w:lineRule="exact"/>
        <w:ind w:firstLine="540" w:firstLineChars="225"/>
        <w:rPr>
          <w:rFonts w:ascii="仿宋" w:hAnsi="仿宋" w:eastAsia="仿宋"/>
          <w:kern w:val="0"/>
          <w:sz w:val="24"/>
        </w:rPr>
      </w:pPr>
      <w:r>
        <w:rPr>
          <w:rFonts w:hint="eastAsia" w:ascii="仿宋" w:hAnsi="仿宋" w:eastAsia="仿宋"/>
          <w:kern w:val="0"/>
          <w:sz w:val="24"/>
        </w:rPr>
        <w:t>(2)、最小曲线半径不小于20m；</w:t>
      </w:r>
    </w:p>
    <w:p>
      <w:pPr>
        <w:autoSpaceDE w:val="0"/>
        <w:autoSpaceDN w:val="0"/>
        <w:spacing w:after="120" w:line="440" w:lineRule="exact"/>
        <w:ind w:firstLine="540" w:firstLineChars="225"/>
        <w:rPr>
          <w:rFonts w:ascii="仿宋" w:hAnsi="仿宋" w:eastAsia="仿宋"/>
          <w:kern w:val="0"/>
          <w:sz w:val="24"/>
        </w:rPr>
      </w:pPr>
      <w:r>
        <w:rPr>
          <w:rFonts w:hint="eastAsia" w:ascii="仿宋" w:hAnsi="仿宋" w:eastAsia="仿宋"/>
          <w:kern w:val="0"/>
          <w:sz w:val="24"/>
        </w:rPr>
        <w:t>(3)、道路最大坡度不大于8-10%；</w:t>
      </w:r>
    </w:p>
    <w:p>
      <w:pPr>
        <w:autoSpaceDE w:val="0"/>
        <w:autoSpaceDN w:val="0"/>
        <w:spacing w:after="120" w:line="440" w:lineRule="exact"/>
        <w:ind w:firstLine="540" w:firstLineChars="225"/>
        <w:rPr>
          <w:rFonts w:ascii="仿宋" w:hAnsi="仿宋" w:eastAsia="仿宋"/>
          <w:kern w:val="0"/>
          <w:sz w:val="24"/>
        </w:rPr>
      </w:pPr>
      <w:r>
        <w:rPr>
          <w:rFonts w:hint="eastAsia" w:ascii="仿宋" w:hAnsi="仿宋" w:eastAsia="仿宋"/>
          <w:kern w:val="0"/>
          <w:sz w:val="24"/>
        </w:rPr>
        <w:t>(4)、坡道最长不大于300m；</w:t>
      </w:r>
    </w:p>
    <w:p>
      <w:pPr>
        <w:autoSpaceDE w:val="0"/>
        <w:autoSpaceDN w:val="0"/>
        <w:spacing w:after="120" w:line="440" w:lineRule="exact"/>
        <w:ind w:firstLine="540" w:firstLineChars="225"/>
        <w:rPr>
          <w:rFonts w:ascii="仿宋" w:hAnsi="仿宋" w:eastAsia="仿宋"/>
          <w:kern w:val="0"/>
          <w:sz w:val="24"/>
        </w:rPr>
      </w:pPr>
      <w:r>
        <w:rPr>
          <w:rFonts w:hint="eastAsia" w:ascii="仿宋" w:hAnsi="仿宋" w:eastAsia="仿宋"/>
          <w:kern w:val="0"/>
          <w:sz w:val="24"/>
        </w:rPr>
        <w:t>(5)、道路曲线加宽不小于5m；</w:t>
      </w:r>
    </w:p>
    <w:p>
      <w:pPr>
        <w:autoSpaceDE w:val="0"/>
        <w:autoSpaceDN w:val="0"/>
        <w:spacing w:after="120" w:line="440" w:lineRule="exact"/>
        <w:ind w:firstLine="540" w:firstLineChars="225"/>
        <w:rPr>
          <w:rFonts w:ascii="仿宋" w:hAnsi="仿宋" w:eastAsia="仿宋"/>
          <w:kern w:val="0"/>
          <w:sz w:val="24"/>
        </w:rPr>
      </w:pPr>
      <w:r>
        <w:rPr>
          <w:rFonts w:hint="eastAsia" w:ascii="仿宋" w:hAnsi="仿宋" w:eastAsia="仿宋"/>
          <w:kern w:val="0"/>
          <w:sz w:val="24"/>
        </w:rPr>
        <w:t>(6)、缓坡段长度不小于30m；</w:t>
      </w:r>
    </w:p>
    <w:p>
      <w:pPr>
        <w:autoSpaceDE w:val="0"/>
        <w:autoSpaceDN w:val="0"/>
        <w:spacing w:after="120" w:line="440" w:lineRule="exact"/>
        <w:ind w:firstLine="540" w:firstLineChars="225"/>
        <w:rPr>
          <w:rFonts w:ascii="仿宋" w:hAnsi="仿宋" w:eastAsia="仿宋"/>
          <w:kern w:val="0"/>
          <w:sz w:val="24"/>
        </w:rPr>
      </w:pPr>
      <w:r>
        <w:rPr>
          <w:rFonts w:hint="eastAsia" w:ascii="仿宋" w:hAnsi="仿宋" w:eastAsia="仿宋"/>
          <w:kern w:val="0"/>
          <w:sz w:val="24"/>
        </w:rPr>
        <w:t>(7)、道路两侧挡墙顶宽不低于0.5米，高度不低于1米，底宽不小于3-4米。</w:t>
      </w:r>
    </w:p>
    <w:p>
      <w:pPr>
        <w:autoSpaceDE w:val="0"/>
        <w:autoSpaceDN w:val="0"/>
        <w:spacing w:after="120" w:line="440" w:lineRule="exact"/>
        <w:ind w:firstLine="540" w:firstLineChars="225"/>
        <w:rPr>
          <w:rFonts w:ascii="仿宋" w:hAnsi="仿宋" w:eastAsia="仿宋"/>
          <w:kern w:val="0"/>
          <w:sz w:val="24"/>
        </w:rPr>
      </w:pPr>
      <w:r>
        <w:rPr>
          <w:rFonts w:hint="eastAsia" w:ascii="仿宋" w:hAnsi="仿宋" w:eastAsia="仿宋"/>
          <w:kern w:val="0"/>
          <w:sz w:val="24"/>
        </w:rPr>
        <w:t>(8)、道路边坡按自然坡度留设，不得超挖。</w:t>
      </w:r>
    </w:p>
    <w:p>
      <w:pPr>
        <w:autoSpaceDE w:val="0"/>
        <w:autoSpaceDN w:val="0"/>
        <w:spacing w:after="120" w:line="440" w:lineRule="exact"/>
        <w:ind w:firstLine="540" w:firstLineChars="225"/>
        <w:rPr>
          <w:rFonts w:ascii="仿宋" w:hAnsi="仿宋" w:eastAsia="仿宋"/>
          <w:kern w:val="0"/>
          <w:sz w:val="24"/>
        </w:rPr>
      </w:pPr>
      <w:r>
        <w:rPr>
          <w:rFonts w:hint="eastAsia" w:ascii="仿宋" w:hAnsi="仿宋" w:eastAsia="仿宋"/>
          <w:kern w:val="0"/>
          <w:sz w:val="24"/>
        </w:rPr>
        <w:t>(9)、转弯视距不小于50米。</w:t>
      </w:r>
    </w:p>
    <w:p>
      <w:pPr>
        <w:autoSpaceDE w:val="0"/>
        <w:autoSpaceDN w:val="0"/>
        <w:spacing w:after="120" w:line="440" w:lineRule="exact"/>
        <w:ind w:firstLine="470" w:firstLineChars="196"/>
        <w:rPr>
          <w:rFonts w:ascii="仿宋" w:hAnsi="仿宋" w:eastAsia="仿宋"/>
          <w:kern w:val="0"/>
          <w:sz w:val="24"/>
        </w:rPr>
      </w:pPr>
      <w:r>
        <w:rPr>
          <w:rFonts w:hint="eastAsia" w:ascii="仿宋" w:hAnsi="仿宋" w:eastAsia="仿宋"/>
          <w:kern w:val="0"/>
          <w:sz w:val="24"/>
        </w:rPr>
        <w:t>道路维护：</w:t>
      </w:r>
    </w:p>
    <w:p>
      <w:pPr>
        <w:autoSpaceDE w:val="0"/>
        <w:autoSpaceDN w:val="0"/>
        <w:spacing w:after="120" w:line="440" w:lineRule="exact"/>
        <w:ind w:firstLine="540" w:firstLineChars="225"/>
        <w:rPr>
          <w:rFonts w:ascii="仿宋" w:hAnsi="仿宋" w:eastAsia="仿宋"/>
          <w:kern w:val="0"/>
          <w:sz w:val="24"/>
        </w:rPr>
      </w:pPr>
      <w:r>
        <w:rPr>
          <w:rFonts w:hint="eastAsia" w:ascii="仿宋" w:hAnsi="仿宋" w:eastAsia="仿宋"/>
          <w:kern w:val="0"/>
          <w:sz w:val="24"/>
        </w:rPr>
        <w:t>配备6辆洒水车循环作业，保持路面湿度。平路机配合作业，保持路面平整、坚实，没有坑槽、搓板及凹凸等，并设专人清理路面大块浮石、煤块及其他杂物，浮货每班清理，及时外运。保证道路处于良好的通行状态。</w:t>
      </w:r>
    </w:p>
    <w:p>
      <w:pPr>
        <w:autoSpaceDE w:val="0"/>
        <w:autoSpaceDN w:val="0"/>
        <w:spacing w:line="440" w:lineRule="exact"/>
        <w:jc w:val="center"/>
        <w:rPr>
          <w:rFonts w:ascii="仿宋" w:hAnsi="仿宋" w:eastAsia="仿宋"/>
          <w:kern w:val="0"/>
          <w:sz w:val="24"/>
        </w:rPr>
      </w:pPr>
      <w:bookmarkStart w:id="183" w:name="_Toc150051145"/>
      <w:bookmarkEnd w:id="183"/>
      <w:bookmarkStart w:id="184" w:name="_Toc256980151"/>
      <w:bookmarkEnd w:id="184"/>
      <w:bookmarkStart w:id="185" w:name="_Toc12309"/>
      <w:bookmarkEnd w:id="185"/>
      <w:bookmarkStart w:id="186" w:name="_Toc251095258"/>
      <w:bookmarkEnd w:id="186"/>
      <w:bookmarkStart w:id="187" w:name="_Toc149030061"/>
      <w:bookmarkEnd w:id="187"/>
      <w:bookmarkStart w:id="188" w:name="_Toc251095702"/>
      <w:bookmarkEnd w:id="188"/>
      <w:bookmarkStart w:id="189" w:name="_Toc251094214"/>
      <w:bookmarkEnd w:id="189"/>
      <w:bookmarkStart w:id="190" w:name="_Toc251095788"/>
      <w:bookmarkEnd w:id="190"/>
      <w:bookmarkStart w:id="191" w:name="_Toc251095891"/>
      <w:bookmarkEnd w:id="191"/>
      <w:bookmarkStart w:id="192" w:name="_Toc251095734"/>
      <w:bookmarkEnd w:id="192"/>
      <w:r>
        <w:rPr>
          <w:rFonts w:hint="eastAsia" w:ascii="仿宋" w:hAnsi="仿宋" w:eastAsia="仿宋"/>
          <w:kern w:val="0"/>
          <w:sz w:val="24"/>
        </w:rPr>
        <w:t>第六节 排土场及排弃计划</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剥离物现已全部实现内排，内排土场从东向西方向发展，排土台阶形成东高西低的形状，现有7个排土台阶，其最高标高为1210m，最低标高为1060m。排土台阶采用水平分层的方式排弃,原则上两个剥离台阶对应一个排土台阶，台阶高度为20m～26m。</w:t>
      </w:r>
    </w:p>
    <w:p>
      <w:pPr>
        <w:autoSpaceDE w:val="0"/>
        <w:autoSpaceDN w:val="0"/>
        <w:spacing w:after="120" w:line="440" w:lineRule="exact"/>
        <w:ind w:firstLine="480" w:firstLineChars="200"/>
        <w:rPr>
          <w:rFonts w:ascii="仿宋" w:hAnsi="仿宋" w:eastAsia="仿宋"/>
          <w:kern w:val="0"/>
          <w:sz w:val="24"/>
        </w:rPr>
      </w:pPr>
      <w:r>
        <w:rPr>
          <w:rFonts w:hint="eastAsia" w:ascii="仿宋" w:hAnsi="仿宋" w:eastAsia="仿宋"/>
          <w:kern w:val="0"/>
          <w:sz w:val="24"/>
        </w:rPr>
        <w:t>内排时使用装载机推排，排土台阶为水平分层，采用边缘式排弃。根据排弃物性质、气候条件，卡车尽量靠近台阶坡顶线卸载，残留部分由装载机推下。排土台阶顶部设不小于3~5%的反坡和高不低于车轮直径2/5的安全车挡。</w:t>
      </w:r>
    </w:p>
    <w:p>
      <w:pPr>
        <w:autoSpaceDE w:val="0"/>
        <w:autoSpaceDN w:val="0"/>
        <w:spacing w:after="120" w:line="440" w:lineRule="exact"/>
        <w:jc w:val="center"/>
        <w:rPr>
          <w:rFonts w:ascii="仿宋" w:hAnsi="仿宋" w:eastAsia="仿宋"/>
          <w:b/>
          <w:kern w:val="0"/>
          <w:sz w:val="24"/>
        </w:rPr>
      </w:pPr>
      <w:r>
        <w:rPr>
          <w:rFonts w:hint="eastAsia" w:ascii="仿宋" w:hAnsi="仿宋" w:eastAsia="仿宋"/>
          <w:b/>
          <w:kern w:val="0"/>
          <w:sz w:val="24"/>
        </w:rPr>
        <w:t>内排土场参数表</w:t>
      </w:r>
    </w:p>
    <w:tbl>
      <w:tblPr>
        <w:tblStyle w:val="3"/>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2867"/>
        <w:gridCol w:w="5736"/>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exact"/>
          <w:jc w:val="center"/>
        </w:trPr>
        <w:tc>
          <w:tcPr>
            <w:tcW w:w="2867" w:type="dxa"/>
            <w:noWrap w:val="0"/>
            <w:vAlign w:val="center"/>
          </w:tcPr>
          <w:p>
            <w:pPr>
              <w:autoSpaceDE w:val="0"/>
              <w:autoSpaceDN w:val="0"/>
              <w:spacing w:after="120" w:line="440" w:lineRule="exact"/>
              <w:jc w:val="center"/>
              <w:rPr>
                <w:rFonts w:ascii="仿宋" w:hAnsi="仿宋" w:eastAsia="仿宋"/>
                <w:kern w:val="0"/>
                <w:sz w:val="24"/>
              </w:rPr>
            </w:pPr>
          </w:p>
        </w:tc>
        <w:tc>
          <w:tcPr>
            <w:tcW w:w="5736" w:type="dxa"/>
            <w:noWrap w:val="0"/>
            <w:vAlign w:val="center"/>
          </w:tcPr>
          <w:p>
            <w:pPr>
              <w:autoSpaceDE w:val="0"/>
              <w:autoSpaceDN w:val="0"/>
              <w:spacing w:after="120" w:line="440" w:lineRule="exact"/>
              <w:jc w:val="center"/>
              <w:rPr>
                <w:rFonts w:ascii="仿宋" w:hAnsi="仿宋" w:eastAsia="仿宋"/>
                <w:kern w:val="0"/>
                <w:sz w:val="24"/>
              </w:rPr>
            </w:pPr>
            <w:r>
              <w:rPr>
                <w:rFonts w:hint="eastAsia" w:ascii="仿宋" w:hAnsi="仿宋" w:eastAsia="仿宋"/>
                <w:kern w:val="0"/>
                <w:sz w:val="24"/>
              </w:rPr>
              <w:t>单斗—卡车</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exact"/>
          <w:jc w:val="center"/>
        </w:trPr>
        <w:tc>
          <w:tcPr>
            <w:tcW w:w="2867" w:type="dxa"/>
            <w:noWrap w:val="0"/>
            <w:vAlign w:val="center"/>
          </w:tcPr>
          <w:p>
            <w:pPr>
              <w:autoSpaceDE w:val="0"/>
              <w:autoSpaceDN w:val="0"/>
              <w:snapToGrid w:val="0"/>
              <w:spacing w:after="120" w:line="440" w:lineRule="exact"/>
              <w:jc w:val="center"/>
              <w:rPr>
                <w:rFonts w:ascii="仿宋" w:hAnsi="仿宋" w:eastAsia="仿宋"/>
                <w:kern w:val="0"/>
                <w:sz w:val="24"/>
              </w:rPr>
            </w:pPr>
            <w:r>
              <w:rPr>
                <w:rFonts w:hint="eastAsia" w:ascii="仿宋" w:hAnsi="仿宋" w:eastAsia="仿宋"/>
                <w:kern w:val="0"/>
                <w:sz w:val="24"/>
              </w:rPr>
              <w:t>台阶高度(m)</w:t>
            </w:r>
          </w:p>
        </w:tc>
        <w:tc>
          <w:tcPr>
            <w:tcW w:w="5736" w:type="dxa"/>
            <w:noWrap w:val="0"/>
            <w:vAlign w:val="center"/>
          </w:tcPr>
          <w:p>
            <w:pPr>
              <w:autoSpaceDE w:val="0"/>
              <w:autoSpaceDN w:val="0"/>
              <w:spacing w:after="120" w:line="440" w:lineRule="exact"/>
              <w:jc w:val="center"/>
              <w:rPr>
                <w:rFonts w:ascii="仿宋" w:hAnsi="仿宋" w:eastAsia="仿宋"/>
                <w:kern w:val="0"/>
                <w:sz w:val="24"/>
              </w:rPr>
            </w:pPr>
            <w:r>
              <w:rPr>
                <w:rFonts w:hint="eastAsia" w:ascii="仿宋" w:hAnsi="仿宋" w:eastAsia="仿宋"/>
                <w:kern w:val="0"/>
                <w:sz w:val="24"/>
              </w:rPr>
              <w:t>20～26</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exact"/>
          <w:jc w:val="center"/>
        </w:trPr>
        <w:tc>
          <w:tcPr>
            <w:tcW w:w="2867" w:type="dxa"/>
            <w:noWrap w:val="0"/>
            <w:vAlign w:val="center"/>
          </w:tcPr>
          <w:p>
            <w:pPr>
              <w:autoSpaceDE w:val="0"/>
              <w:autoSpaceDN w:val="0"/>
              <w:snapToGrid w:val="0"/>
              <w:spacing w:after="120" w:line="440" w:lineRule="exact"/>
              <w:jc w:val="center"/>
              <w:rPr>
                <w:rFonts w:ascii="仿宋" w:hAnsi="仿宋" w:eastAsia="仿宋"/>
                <w:kern w:val="0"/>
                <w:sz w:val="24"/>
              </w:rPr>
            </w:pPr>
            <w:r>
              <w:rPr>
                <w:rFonts w:hint="eastAsia" w:ascii="仿宋" w:hAnsi="仿宋" w:eastAsia="仿宋"/>
                <w:kern w:val="0"/>
                <w:sz w:val="24"/>
              </w:rPr>
              <w:t>总排弃高度(m)</w:t>
            </w:r>
          </w:p>
        </w:tc>
        <w:tc>
          <w:tcPr>
            <w:tcW w:w="5736" w:type="dxa"/>
            <w:noWrap w:val="0"/>
            <w:vAlign w:val="center"/>
          </w:tcPr>
          <w:p>
            <w:pPr>
              <w:autoSpaceDE w:val="0"/>
              <w:autoSpaceDN w:val="0"/>
              <w:spacing w:after="120" w:line="440" w:lineRule="exact"/>
              <w:jc w:val="center"/>
              <w:rPr>
                <w:rFonts w:ascii="仿宋" w:hAnsi="仿宋" w:eastAsia="仿宋"/>
                <w:kern w:val="0"/>
                <w:sz w:val="24"/>
              </w:rPr>
            </w:pPr>
            <w:r>
              <w:rPr>
                <w:rFonts w:hint="eastAsia" w:ascii="仿宋" w:hAnsi="仿宋" w:eastAsia="仿宋"/>
                <w:kern w:val="0"/>
                <w:sz w:val="24"/>
              </w:rPr>
              <w:t>170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exact"/>
          <w:jc w:val="center"/>
        </w:trPr>
        <w:tc>
          <w:tcPr>
            <w:tcW w:w="2867" w:type="dxa"/>
            <w:noWrap w:val="0"/>
            <w:vAlign w:val="center"/>
          </w:tcPr>
          <w:p>
            <w:pPr>
              <w:autoSpaceDE w:val="0"/>
              <w:autoSpaceDN w:val="0"/>
              <w:snapToGrid w:val="0"/>
              <w:spacing w:after="120" w:line="440" w:lineRule="exact"/>
              <w:jc w:val="center"/>
              <w:rPr>
                <w:rFonts w:ascii="仿宋" w:hAnsi="仿宋" w:eastAsia="仿宋"/>
                <w:kern w:val="0"/>
                <w:sz w:val="24"/>
              </w:rPr>
            </w:pPr>
            <w:r>
              <w:rPr>
                <w:rFonts w:hint="eastAsia" w:ascii="仿宋" w:hAnsi="仿宋" w:eastAsia="仿宋"/>
                <w:kern w:val="0"/>
                <w:sz w:val="24"/>
              </w:rPr>
              <w:t>台阶坡面角(°)</w:t>
            </w:r>
          </w:p>
        </w:tc>
        <w:tc>
          <w:tcPr>
            <w:tcW w:w="5736" w:type="dxa"/>
            <w:noWrap w:val="0"/>
            <w:vAlign w:val="center"/>
          </w:tcPr>
          <w:p>
            <w:pPr>
              <w:autoSpaceDE w:val="0"/>
              <w:autoSpaceDN w:val="0"/>
              <w:spacing w:after="120" w:line="440" w:lineRule="exact"/>
              <w:jc w:val="center"/>
              <w:rPr>
                <w:rFonts w:ascii="仿宋" w:hAnsi="仿宋" w:eastAsia="仿宋"/>
                <w:kern w:val="0"/>
                <w:sz w:val="24"/>
              </w:rPr>
            </w:pPr>
            <w:r>
              <w:rPr>
                <w:rFonts w:hint="eastAsia" w:ascii="仿宋" w:hAnsi="仿宋" w:eastAsia="仿宋"/>
                <w:kern w:val="0"/>
                <w:sz w:val="24"/>
              </w:rPr>
              <w:t>38</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exact"/>
          <w:jc w:val="center"/>
        </w:trPr>
        <w:tc>
          <w:tcPr>
            <w:tcW w:w="2867" w:type="dxa"/>
            <w:noWrap w:val="0"/>
            <w:vAlign w:val="center"/>
          </w:tcPr>
          <w:p>
            <w:pPr>
              <w:autoSpaceDE w:val="0"/>
              <w:autoSpaceDN w:val="0"/>
              <w:snapToGrid w:val="0"/>
              <w:spacing w:after="120" w:line="440" w:lineRule="exact"/>
              <w:jc w:val="center"/>
              <w:rPr>
                <w:rFonts w:ascii="仿宋" w:hAnsi="仿宋" w:eastAsia="仿宋"/>
                <w:kern w:val="0"/>
                <w:sz w:val="24"/>
              </w:rPr>
            </w:pPr>
            <w:r>
              <w:rPr>
                <w:rFonts w:hint="eastAsia" w:ascii="仿宋" w:hAnsi="仿宋" w:eastAsia="仿宋"/>
                <w:kern w:val="0"/>
                <w:sz w:val="24"/>
              </w:rPr>
              <w:t>最终松散系数</w:t>
            </w:r>
          </w:p>
        </w:tc>
        <w:tc>
          <w:tcPr>
            <w:tcW w:w="5736" w:type="dxa"/>
            <w:noWrap w:val="0"/>
            <w:vAlign w:val="center"/>
          </w:tcPr>
          <w:p>
            <w:pPr>
              <w:autoSpaceDE w:val="0"/>
              <w:autoSpaceDN w:val="0"/>
              <w:spacing w:after="120" w:line="440" w:lineRule="exact"/>
              <w:jc w:val="center"/>
              <w:rPr>
                <w:rFonts w:ascii="仿宋" w:hAnsi="仿宋" w:eastAsia="仿宋"/>
                <w:kern w:val="0"/>
                <w:sz w:val="24"/>
              </w:rPr>
            </w:pPr>
            <w:r>
              <w:rPr>
                <w:rFonts w:hint="eastAsia" w:ascii="仿宋" w:hAnsi="仿宋" w:eastAsia="仿宋"/>
                <w:kern w:val="0"/>
                <w:sz w:val="24"/>
              </w:rPr>
              <w:t>1.26</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exact"/>
          <w:jc w:val="center"/>
        </w:trPr>
        <w:tc>
          <w:tcPr>
            <w:tcW w:w="2867" w:type="dxa"/>
            <w:noWrap w:val="0"/>
            <w:vAlign w:val="center"/>
          </w:tcPr>
          <w:p>
            <w:pPr>
              <w:autoSpaceDE w:val="0"/>
              <w:autoSpaceDN w:val="0"/>
              <w:snapToGrid w:val="0"/>
              <w:spacing w:after="120" w:line="440" w:lineRule="exact"/>
              <w:jc w:val="center"/>
              <w:rPr>
                <w:rFonts w:ascii="仿宋" w:hAnsi="仿宋" w:eastAsia="仿宋"/>
                <w:kern w:val="0"/>
                <w:sz w:val="24"/>
              </w:rPr>
            </w:pPr>
            <w:r>
              <w:rPr>
                <w:rFonts w:hint="eastAsia" w:ascii="仿宋" w:hAnsi="仿宋" w:eastAsia="仿宋"/>
                <w:kern w:val="0"/>
                <w:sz w:val="24"/>
              </w:rPr>
              <w:t>最终稳定边坡角(°)</w:t>
            </w:r>
          </w:p>
        </w:tc>
        <w:tc>
          <w:tcPr>
            <w:tcW w:w="5736" w:type="dxa"/>
            <w:noWrap w:val="0"/>
            <w:vAlign w:val="center"/>
          </w:tcPr>
          <w:p>
            <w:pPr>
              <w:autoSpaceDE w:val="0"/>
              <w:autoSpaceDN w:val="0"/>
              <w:spacing w:after="120" w:line="440" w:lineRule="exact"/>
              <w:jc w:val="center"/>
              <w:rPr>
                <w:rFonts w:ascii="仿宋" w:hAnsi="仿宋" w:eastAsia="仿宋"/>
                <w:kern w:val="0"/>
                <w:sz w:val="24"/>
              </w:rPr>
            </w:pPr>
            <w:r>
              <w:rPr>
                <w:rFonts w:hint="eastAsia" w:ascii="仿宋" w:hAnsi="仿宋" w:eastAsia="仿宋"/>
                <w:kern w:val="0"/>
                <w:sz w:val="24"/>
              </w:rPr>
              <w:t>20</w:t>
            </w:r>
          </w:p>
        </w:tc>
      </w:tr>
    </w:tbl>
    <w:p>
      <w:pPr>
        <w:autoSpaceDE w:val="0"/>
        <w:autoSpaceDN w:val="0"/>
        <w:spacing w:line="440" w:lineRule="exact"/>
        <w:rPr>
          <w:rFonts w:ascii="仿宋" w:hAnsi="仿宋" w:eastAsia="仿宋"/>
          <w:kern w:val="0"/>
          <w:sz w:val="24"/>
        </w:rPr>
      </w:pPr>
    </w:p>
    <w:p>
      <w:pPr>
        <w:autoSpaceDE w:val="0"/>
        <w:autoSpaceDN w:val="0"/>
        <w:spacing w:line="440" w:lineRule="exact"/>
        <w:rPr>
          <w:rFonts w:hint="eastAsia" w:ascii="仿宋" w:hAnsi="仿宋" w:eastAsia="仿宋"/>
          <w:kern w:val="0"/>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japaneseCounting"/>
      <w:lvlText w:val="第%1节"/>
      <w:lvlJc w:val="left"/>
      <w:pPr>
        <w:tabs>
          <w:tab w:val="left" w:pos="735"/>
        </w:tabs>
        <w:ind w:left="735" w:hanging="735"/>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0C"/>
    <w:multiLevelType w:val="multilevel"/>
    <w:tmpl w:val="0000000C"/>
    <w:lvl w:ilvl="0" w:tentative="0">
      <w:start w:val="3"/>
      <w:numFmt w:val="japaneseCounting"/>
      <w:lvlText w:val="第%1节"/>
      <w:lvlJc w:val="left"/>
      <w:pPr>
        <w:tabs>
          <w:tab w:val="left" w:pos="840"/>
        </w:tabs>
        <w:ind w:left="840" w:hanging="84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1NzZkNjQ1NWFkMzhjYmVhMzBiYzQ4MWY4YmE2MWMifQ=="/>
  </w:docVars>
  <w:rsids>
    <w:rsidRoot w:val="50511CE2"/>
    <w:rsid w:val="190D73BE"/>
    <w:rsid w:val="50511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autoRedefine/>
    <w:qFormat/>
    <w:uiPriority w:val="0"/>
    <w:pPr>
      <w:keepNext/>
      <w:keepLines/>
      <w:adjustRightInd w:val="0"/>
      <w:snapToGrid w:val="0"/>
      <w:spacing w:before="260" w:after="260" w:line="416" w:lineRule="auto"/>
      <w:ind w:firstLine="200" w:firstLineChars="200"/>
      <w:outlineLvl w:val="1"/>
    </w:pPr>
    <w:rPr>
      <w:rFonts w:ascii="Arial" w:hAnsi="Arial" w:eastAsia="黑体"/>
      <w:b/>
      <w:bCs/>
      <w:sz w:val="32"/>
      <w:szCs w:val="32"/>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2024-03-28T08:19:00Z</dcterms:created>
  <dc:creator>Administrator</dc:creator>
  <cp:lastModifiedBy>贺</cp:lastModifiedBy>
  <dcterms:modified xsi:type="dcterms:W3CDTF">2024-03-29T05:14:04Z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5176FCABA7FF4A54A9893FBDA1FA8055_11</vt:lpwstr>
  </property>
</Properties>
</file>